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9F2F1" w14:textId="77777777" w:rsidR="0057062D" w:rsidRDefault="0057062D">
      <w:pPr>
        <w:spacing w:line="276" w:lineRule="auto"/>
        <w:ind w:right="280"/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</w:p>
    <w:p w14:paraId="6F1ECEF1" w14:textId="77777777" w:rsidR="00A74A4F" w:rsidRDefault="001F5B14">
      <w:pPr>
        <w:spacing w:line="276" w:lineRule="auto"/>
        <w:ind w:right="280"/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  <w:r>
        <w:rPr>
          <w:rFonts w:ascii="Arial" w:eastAsia="Arial" w:hAnsi="Arial" w:cs="Arial"/>
          <w:b/>
          <w:sz w:val="28"/>
          <w:szCs w:val="28"/>
          <w:lang w:val="pt-BR"/>
        </w:rPr>
        <w:t>PERENES E ANUAIS: A COMBINAÇÃO DE MANEJO PARA A BUSCA DE ALTA QUALIDADE DE FORRAGENS NO ESTADO DE SANTA CATARINA</w:t>
      </w:r>
    </w:p>
    <w:p w14:paraId="6A09F505" w14:textId="77777777" w:rsidR="0057062D" w:rsidRPr="0057062D" w:rsidRDefault="0057062D">
      <w:pPr>
        <w:spacing w:line="276" w:lineRule="auto"/>
        <w:ind w:right="280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CF049B3" w14:textId="77777777" w:rsidR="0057062D" w:rsidRDefault="0057062D" w:rsidP="0057062D">
      <w:pPr>
        <w:pBdr>
          <w:top w:val="nil"/>
          <w:left w:val="nil"/>
          <w:bottom w:val="nil"/>
          <w:right w:val="nil"/>
          <w:between w:val="nil"/>
        </w:pBdr>
        <w:ind w:right="284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u w:val="single"/>
          <w:lang w:val="pt-BR"/>
        </w:rPr>
        <w:t>Daniele Cristina da Silva-Kazama</w:t>
      </w:r>
      <w:r w:rsidRPr="00650E4F"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>1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>Renan Buhrer</w:t>
      </w:r>
      <w:r w:rsidRPr="00650E4F"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>1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,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Luis Roberto Braga de Moraes Gagliardi</w:t>
      </w:r>
      <w:r w:rsidRPr="00650E4F"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>1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Cassio Marques de Valois</w:t>
      </w:r>
      <w:r w:rsidRPr="00650E4F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>Darci Pitton Filho</w:t>
      </w:r>
      <w:r w:rsidRPr="00650E4F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Pr="00650E4F">
        <w:rPr>
          <w:rFonts w:ascii="Arial" w:eastAsia="Arial" w:hAnsi="Arial" w:cs="Arial"/>
          <w:sz w:val="20"/>
          <w:szCs w:val="20"/>
          <w:lang w:val="pt-BR"/>
        </w:rPr>
        <w:t>,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Fabiana Schmidt</w:t>
      </w:r>
      <w:r w:rsidRPr="00650E4F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Pr="00650E4F">
        <w:rPr>
          <w:rFonts w:ascii="Arial" w:eastAsia="Arial" w:hAnsi="Arial" w:cs="Arial"/>
          <w:sz w:val="20"/>
          <w:szCs w:val="20"/>
          <w:lang w:val="pt-BR"/>
        </w:rPr>
        <w:t>,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Carlos Otavio Mader Fernandes</w:t>
      </w:r>
      <w:r w:rsidRPr="00650E4F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</w:p>
    <w:p w14:paraId="594857A1" w14:textId="77777777" w:rsidR="0057062D" w:rsidRPr="00650E4F" w:rsidRDefault="0057062D" w:rsidP="0057062D">
      <w:pPr>
        <w:pBdr>
          <w:top w:val="nil"/>
          <w:left w:val="nil"/>
          <w:bottom w:val="nil"/>
          <w:right w:val="nil"/>
          <w:between w:val="nil"/>
        </w:pBdr>
        <w:ind w:right="284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756A237" w14:textId="77777777" w:rsidR="0057062D" w:rsidRPr="00650E4F" w:rsidRDefault="0057062D" w:rsidP="0057062D">
      <w:pPr>
        <w:pBdr>
          <w:top w:val="nil"/>
          <w:left w:val="nil"/>
          <w:bottom w:val="nil"/>
          <w:right w:val="nil"/>
          <w:between w:val="nil"/>
        </w:pBdr>
        <w:ind w:right="284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650E4F"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>1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</w:t>
      </w:r>
      <w:r w:rsidRPr="00650E4F">
        <w:rPr>
          <w:rFonts w:ascii="Arial" w:eastAsia="Arial" w:hAnsi="Arial" w:cs="Arial"/>
          <w:sz w:val="20"/>
          <w:szCs w:val="20"/>
          <w:lang w:val="pt-BR"/>
        </w:rPr>
        <w:t>Universidade Federal de Santa Catarina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, </w:t>
      </w:r>
      <w:r w:rsidRPr="00650E4F">
        <w:rPr>
          <w:rFonts w:ascii="Arial" w:eastAsia="Arial" w:hAnsi="Arial" w:cs="Arial"/>
          <w:color w:val="000000"/>
          <w:sz w:val="20"/>
          <w:szCs w:val="20"/>
          <w:vertAlign w:val="superscript"/>
          <w:lang w:val="pt-BR"/>
        </w:rPr>
        <w:t>2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</w:t>
      </w:r>
      <w:r w:rsidRPr="00650E4F">
        <w:rPr>
          <w:rFonts w:ascii="Arial" w:eastAsia="Arial" w:hAnsi="Arial" w:cs="Arial"/>
          <w:sz w:val="20"/>
          <w:szCs w:val="20"/>
          <w:lang w:val="pt-BR"/>
        </w:rPr>
        <w:t>Empresa de Pesquisa Agropecuária e Extensão Rural de Santa Catarina</w:t>
      </w:r>
      <w:r w:rsidRPr="00650E4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, E-mail: 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daniele.kazama@ufsc.br</w:t>
      </w:r>
    </w:p>
    <w:p w14:paraId="7322610D" w14:textId="77777777" w:rsidR="00A74A4F" w:rsidRDefault="00A74A4F">
      <w:pPr>
        <w:ind w:right="284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8F2201E" w14:textId="77777777" w:rsidR="00A74A4F" w:rsidRDefault="00A74A4F">
      <w:pPr>
        <w:ind w:right="284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4BC6E40F" w14:textId="27E66E3D" w:rsidR="00A74A4F" w:rsidRDefault="001F5B14">
      <w:pPr>
        <w:jc w:val="both"/>
        <w:rPr>
          <w:rFonts w:ascii="Cambria" w:eastAsia="Cambria" w:hAnsi="Cambria" w:cs="Cambria"/>
          <w:lang w:val="pt-BR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Contribuição para a sociedade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: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A alta produção por hectare na produção leiteira é alcançada com um bom manejo de pasto, desde que uma combinação de espécies seja utilizada considerando as condições climáticas ao longo do ano. </w:t>
      </w:r>
      <w:r w:rsidR="0057062D">
        <w:rPr>
          <w:rFonts w:ascii="Arial" w:eastAsia="Arial" w:hAnsi="Arial" w:cs="Arial"/>
          <w:sz w:val="22"/>
          <w:szCs w:val="22"/>
          <w:lang w:val="pt-BR"/>
        </w:rPr>
        <w:t>Ao longo dos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 xml:space="preserve"> anos de 2020 a 2022, este projeto analisou a qualidade das forragens em 495 pastos de propriedades leiteiras, que fazem parte do Programa de Pecuária da Empresa de Pesquisa Agropecuária e Extensão Rural de Santa Catarina (EP</w:t>
      </w:r>
      <w:r w:rsidR="0057062D">
        <w:rPr>
          <w:rFonts w:ascii="Arial" w:eastAsia="Arial" w:hAnsi="Arial" w:cs="Arial"/>
          <w:sz w:val="22"/>
          <w:szCs w:val="22"/>
          <w:lang w:val="pt-BR"/>
        </w:rPr>
        <w:t xml:space="preserve">AGRI) 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considerando diferentes combinações de espécies.</w:t>
      </w:r>
      <w:r w:rsidR="0057062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Observou-se que há uma variedade de espécies cultivadas nas diferentes estações e mesorregiões e que combinadas, ao longo do ano ofereceram uma boa média de qualidade, com valores de proteína bruta superando 18%.  Esses resultados subsidiam técnicos e produtores para uma visão geral da produção a base de pasto no estado, auxiliando as recomendações e decisões de manejo para a eficiência do sistema.</w:t>
      </w:r>
    </w:p>
    <w:p w14:paraId="2827E007" w14:textId="77777777" w:rsidR="00A74A4F" w:rsidRDefault="00A74A4F">
      <w:pP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CCA3873" w14:textId="77777777" w:rsidR="00A74A4F" w:rsidRDefault="001F5B14">
      <w:pPr>
        <w:jc w:val="both"/>
        <w:rPr>
          <w:rFonts w:ascii="Cambria" w:eastAsia="Cambria" w:hAnsi="Cambria" w:cs="Cambria"/>
          <w:color w:val="00000A"/>
          <w:lang w:val="pt-BR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Palavras-chave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: </w:t>
      </w:r>
      <w:r>
        <w:rPr>
          <w:rFonts w:ascii="Arial" w:eastAsia="Arial" w:hAnsi="Arial" w:cs="Arial"/>
          <w:sz w:val="22"/>
          <w:szCs w:val="22"/>
          <w:lang w:val="pt-BR"/>
        </w:rPr>
        <w:t>aveia, azevém, bovinocultura de leite, pastagens, sobressemeadura</w:t>
      </w:r>
    </w:p>
    <w:p w14:paraId="14E44755" w14:textId="77777777" w:rsidR="00A74A4F" w:rsidRDefault="00A74A4F">
      <w:pP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14913A29" w14:textId="77777777" w:rsidR="00A74A4F" w:rsidRDefault="001F5B1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Introdução: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Conhecer a qualidade das forragens catarinenses é relevante para desenvolver o planejamento forrageiro, e, ao buscar a maior qualidade e produtividade do pasto, </w:t>
      </w:r>
      <w:r>
        <w:rPr>
          <w:rFonts w:ascii="Arial" w:hAnsi="Arial" w:cs="Arial"/>
          <w:sz w:val="22"/>
          <w:szCs w:val="22"/>
          <w:lang w:val="pt-BR"/>
        </w:rPr>
        <w:t>se observa uma maior capacidade de suporte dessas pastagens, reduzindo os custos com alimentação, aumentando o índice da intensidade de uso da área rural e a renda dos produtores (JOCHIM et al., 2017). Consorciar gramíneas perenes de verão com leguminosas anuais e/ou perenes de inverno e verão, sem revolver o solo, é a forma mais eficiente de construir sistemas com alto potencial produtivo, com dispersão da produção por todos os meses do ano, colhendo pastagens de alta qualidade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(FERNANDES &amp; VALOIS, 2021). Neste trabalho, objetivou-se analisar a diversidade e a qualidade das forragens de propriedades leiteiras em Santa Catarina em diferentes mesorregiões e estações do ano.</w:t>
      </w:r>
    </w:p>
    <w:p w14:paraId="2270E5CD" w14:textId="77777777" w:rsidR="00A74A4F" w:rsidRDefault="00A74A4F">
      <w:pPr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602CB812" w14:textId="1C22F9DE" w:rsidR="00A74A4F" w:rsidRDefault="001F5B1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Material e métodos: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Entre os anos de 2020 e 2022 foram coletadas 495 amostras de forragem em Unidades de Referência Tecnológica (URT’s) participantes do Programa de Pecuária da Empresa de Pesquisa Agropecuária e Extensão Rural de Santa Catarina (</w:t>
      </w:r>
      <w:r w:rsidRPr="0010224B">
        <w:rPr>
          <w:rFonts w:ascii="Arial" w:eastAsia="Arial" w:hAnsi="Arial" w:cs="Arial"/>
          <w:sz w:val="22"/>
          <w:szCs w:val="22"/>
          <w:lang w:val="pt-BR"/>
        </w:rPr>
        <w:t>EPAGRI)</w:t>
      </w:r>
      <w:r w:rsidR="0010224B" w:rsidRPr="0010224B">
        <w:rPr>
          <w:rFonts w:ascii="Arial" w:eastAsia="Arial" w:hAnsi="Arial" w:cs="Arial"/>
          <w:sz w:val="22"/>
          <w:szCs w:val="22"/>
          <w:lang w:val="pt-BR"/>
        </w:rPr>
        <w:t>.</w:t>
      </w:r>
      <w:r w:rsidRPr="0010224B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As espécies identificadas no momento da coleta foram as seguintes</w:t>
      </w:r>
      <w:r w:rsidR="00680363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cultivadas de forma solteira ou em consórcio:</w:t>
      </w:r>
      <w:r w:rsidR="0057062D">
        <w:rPr>
          <w:rFonts w:ascii="Arial" w:eastAsia="Arial" w:hAnsi="Arial" w:cs="Arial"/>
          <w:sz w:val="22"/>
          <w:szCs w:val="22"/>
          <w:lang w:val="pt-BR"/>
        </w:rPr>
        <w:t xml:space="preserve"> Anuais- Aveia branca (</w:t>
      </w:r>
      <w:r>
        <w:rPr>
          <w:rFonts w:ascii="Arial" w:eastAsia="Arial" w:hAnsi="Arial" w:cs="Arial"/>
          <w:i/>
          <w:sz w:val="22"/>
          <w:szCs w:val="22"/>
          <w:lang w:val="pt-BR"/>
        </w:rPr>
        <w:t>Avena sativa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),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Azevém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pt-BR"/>
        </w:rPr>
        <w:t>Lolium multiflorum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 xml:space="preserve">) 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Trevo</w:t>
      </w:r>
      <w:r w:rsidR="0057062D">
        <w:rPr>
          <w:rFonts w:ascii="Arial" w:eastAsia="Arial" w:hAnsi="Arial" w:cs="Arial"/>
          <w:sz w:val="22"/>
          <w:szCs w:val="22"/>
          <w:lang w:val="pt-BR"/>
        </w:rPr>
        <w:t>-</w:t>
      </w:r>
      <w:r w:rsidR="0057062D" w:rsidRPr="0057062D">
        <w:rPr>
          <w:rFonts w:ascii="Arial" w:eastAsia="Arial" w:hAnsi="Arial" w:cs="Arial"/>
          <w:sz w:val="22"/>
          <w:szCs w:val="22"/>
          <w:lang w:val="pt-BR"/>
        </w:rPr>
        <w:t>Branco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>(Trifolium repens)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, </w:t>
      </w:r>
      <w:r w:rsidR="0014752F" w:rsidRPr="0014752F">
        <w:rPr>
          <w:rFonts w:ascii="Arial" w:eastAsia="Arial" w:hAnsi="Arial" w:cs="Arial"/>
          <w:sz w:val="22"/>
          <w:szCs w:val="22"/>
          <w:lang w:val="pt-BR"/>
        </w:rPr>
        <w:t>Perenes -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57062D" w:rsidRPr="0014752F">
        <w:rPr>
          <w:rFonts w:ascii="Arial" w:eastAsia="Arial" w:hAnsi="Arial" w:cs="Arial"/>
          <w:sz w:val="22"/>
          <w:szCs w:val="22"/>
          <w:lang w:val="pt-BR"/>
        </w:rPr>
        <w:t>Tifton 85 e Jiggs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pt-BR"/>
        </w:rPr>
        <w:t xml:space="preserve">Cynodon 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>sp.)</w:t>
      </w:r>
      <w:r>
        <w:rPr>
          <w:rFonts w:ascii="Arial" w:eastAsia="Arial" w:hAnsi="Arial" w:cs="Arial"/>
          <w:i/>
          <w:sz w:val="22"/>
          <w:szCs w:val="22"/>
          <w:lang w:val="pt-BR"/>
        </w:rPr>
        <w:t xml:space="preserve">, </w:t>
      </w:r>
      <w:r w:rsidR="0057062D" w:rsidRPr="0014752F">
        <w:rPr>
          <w:rFonts w:ascii="Arial" w:eastAsia="Arial" w:hAnsi="Arial" w:cs="Arial"/>
          <w:sz w:val="22"/>
          <w:szCs w:val="22"/>
          <w:lang w:val="pt-BR"/>
        </w:rPr>
        <w:t xml:space="preserve">Capim </w:t>
      </w:r>
      <w:r w:rsidR="0014752F">
        <w:rPr>
          <w:rFonts w:ascii="Arial" w:eastAsia="Arial" w:hAnsi="Arial" w:cs="Arial"/>
          <w:sz w:val="22"/>
          <w:szCs w:val="22"/>
          <w:lang w:val="pt-BR"/>
        </w:rPr>
        <w:t>Kurumi</w:t>
      </w:r>
      <w:r w:rsidR="0057062D">
        <w:rPr>
          <w:rFonts w:ascii="Arial" w:eastAsia="Arial" w:hAnsi="Arial" w:cs="Arial"/>
          <w:i/>
          <w:sz w:val="22"/>
          <w:szCs w:val="22"/>
          <w:lang w:val="pt-BR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pt-BR"/>
        </w:rPr>
        <w:t>Pennisetum purpureum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), </w:t>
      </w:r>
      <w:r w:rsidR="0014752F" w:rsidRPr="0014752F">
        <w:rPr>
          <w:rFonts w:ascii="Arial" w:eastAsia="Arial" w:hAnsi="Arial" w:cs="Arial"/>
          <w:sz w:val="22"/>
          <w:szCs w:val="22"/>
          <w:lang w:val="pt-BR"/>
        </w:rPr>
        <w:t>Estrela-africana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pt-BR"/>
        </w:rPr>
        <w:t>Cynodon nlemfluensis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 xml:space="preserve">) </w:t>
      </w:r>
      <w:r w:rsidR="0014752F" w:rsidRPr="0014752F">
        <w:rPr>
          <w:rFonts w:ascii="Arial" w:eastAsia="Arial" w:hAnsi="Arial" w:cs="Arial"/>
          <w:sz w:val="22"/>
          <w:szCs w:val="22"/>
          <w:lang w:val="pt-BR"/>
        </w:rPr>
        <w:t>e</w:t>
      </w:r>
      <w:r w:rsidR="0014752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4752F" w:rsidRPr="0014752F">
        <w:rPr>
          <w:rFonts w:ascii="Arial" w:eastAsia="Arial" w:hAnsi="Arial" w:cs="Arial"/>
          <w:sz w:val="22"/>
          <w:szCs w:val="22"/>
          <w:lang w:val="pt-BR"/>
        </w:rPr>
        <w:t>Missioneira gigante</w:t>
      </w:r>
      <w:r w:rsidR="0014752F">
        <w:rPr>
          <w:rFonts w:ascii="Arial" w:eastAsia="Arial" w:hAnsi="Arial" w:cs="Arial"/>
          <w:sz w:val="22"/>
          <w:szCs w:val="22"/>
          <w:lang w:val="pt-BR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pt-BR"/>
        </w:rPr>
        <w:t>Axonopus catharinensis</w:t>
      </w:r>
      <w:r w:rsidR="0014752F">
        <w:rPr>
          <w:rFonts w:ascii="Arial" w:eastAsia="Arial" w:hAnsi="Arial" w:cs="Arial"/>
          <w:i/>
          <w:sz w:val="22"/>
          <w:szCs w:val="22"/>
          <w:lang w:val="pt-BR"/>
        </w:rPr>
        <w:t>)</w:t>
      </w:r>
      <w:r>
        <w:rPr>
          <w:rFonts w:ascii="Arial" w:eastAsia="Arial" w:hAnsi="Arial" w:cs="Arial"/>
          <w:i/>
          <w:sz w:val="22"/>
          <w:szCs w:val="22"/>
          <w:lang w:val="pt-BR"/>
        </w:rPr>
        <w:t>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4752F" w:rsidRPr="0014752F">
        <w:rPr>
          <w:rFonts w:ascii="Arial" w:hAnsi="Arial" w:cs="Arial"/>
          <w:color w:val="000000"/>
          <w:sz w:val="22"/>
          <w:szCs w:val="22"/>
          <w:lang w:val="pt-BR"/>
        </w:rPr>
        <w:t xml:space="preserve">As coletas eram realizadas </w:t>
      </w:r>
      <w:r w:rsidR="00871DBA">
        <w:rPr>
          <w:rFonts w:ascii="Arial" w:hAnsi="Arial" w:cs="Arial"/>
          <w:color w:val="000000"/>
          <w:sz w:val="22"/>
          <w:szCs w:val="22"/>
          <w:lang w:val="pt-BR"/>
        </w:rPr>
        <w:t xml:space="preserve">por propriedade </w:t>
      </w:r>
      <w:r w:rsidR="0014752F" w:rsidRPr="0014752F">
        <w:rPr>
          <w:rFonts w:ascii="Arial" w:hAnsi="Arial" w:cs="Arial"/>
          <w:color w:val="000000"/>
          <w:sz w:val="22"/>
          <w:szCs w:val="22"/>
          <w:lang w:val="pt-BR"/>
        </w:rPr>
        <w:t>no momento em que o produtor indicava que a parcela seria ut</w:t>
      </w:r>
      <w:r w:rsidR="0014752F">
        <w:rPr>
          <w:rFonts w:ascii="Arial" w:hAnsi="Arial" w:cs="Arial"/>
          <w:color w:val="000000"/>
          <w:sz w:val="22"/>
          <w:szCs w:val="22"/>
          <w:lang w:val="pt-BR"/>
        </w:rPr>
        <w:t>ilizada pelos animais em</w:t>
      </w:r>
      <w:r w:rsidR="0014752F" w:rsidRPr="0014752F">
        <w:rPr>
          <w:rFonts w:ascii="Arial" w:hAnsi="Arial" w:cs="Arial"/>
          <w:color w:val="000000"/>
          <w:sz w:val="22"/>
          <w:szCs w:val="22"/>
          <w:lang w:val="pt-BR"/>
        </w:rPr>
        <w:t xml:space="preserve"> um quadro de 25x25cm em 4 pontos da parcela</w:t>
      </w:r>
      <w:r w:rsidR="0014752F">
        <w:rPr>
          <w:rFonts w:ascii="Arial" w:hAnsi="Arial" w:cs="Arial"/>
          <w:color w:val="000000"/>
          <w:sz w:val="22"/>
          <w:szCs w:val="22"/>
          <w:lang w:val="pt-BR"/>
        </w:rPr>
        <w:t xml:space="preserve"> (em seguida feita uma amostra composta)</w:t>
      </w:r>
      <w:r w:rsidR="0014752F" w:rsidRPr="0014752F">
        <w:rPr>
          <w:rFonts w:ascii="Arial" w:hAnsi="Arial" w:cs="Arial"/>
          <w:color w:val="000000"/>
          <w:sz w:val="22"/>
          <w:szCs w:val="22"/>
          <w:lang w:val="pt-BR"/>
        </w:rPr>
        <w:t xml:space="preserve"> a 7cm do solo</w:t>
      </w:r>
      <w:r w:rsidR="0014752F">
        <w:rPr>
          <w:rFonts w:ascii="Arial" w:hAnsi="Arial" w:cs="Arial"/>
          <w:color w:val="000000"/>
          <w:sz w:val="22"/>
          <w:szCs w:val="22"/>
          <w:lang w:val="pt-BR"/>
        </w:rPr>
        <w:t xml:space="preserve">, à exceção do Capim Kurumi que era </w:t>
      </w:r>
      <w:r w:rsidR="0014752F" w:rsidRPr="0014752F">
        <w:rPr>
          <w:rFonts w:ascii="Arial" w:hAnsi="Arial" w:cs="Arial"/>
          <w:color w:val="000000"/>
          <w:sz w:val="22"/>
          <w:szCs w:val="22"/>
          <w:lang w:val="pt-BR"/>
        </w:rPr>
        <w:t>em quadro de 1x1m a 35cm do solo.</w:t>
      </w:r>
      <w:r w:rsidR="0014752F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Após secas e moídas</w:t>
      </w:r>
      <w:r w:rsidR="00871DB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determinou-se nas amostras a PB (proteína bruta), a FDN </w:t>
      </w:r>
      <w:r w:rsidR="00871DBA">
        <w:rPr>
          <w:rFonts w:ascii="Arial" w:eastAsia="Arial" w:hAnsi="Arial" w:cs="Arial"/>
          <w:sz w:val="22"/>
          <w:szCs w:val="22"/>
          <w:lang w:val="pt-BR"/>
        </w:rPr>
        <w:t xml:space="preserve">(Fibra em Detergente Neutro) e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a FDA (Fibra em Detergente Ácido) por espectroscopia de infravermelho próximo (MPA FT-NIR, BRUKER® OPTIK) no </w:t>
      </w:r>
      <w:bookmarkStart w:id="1" w:name="_GoBack"/>
      <w:bookmarkEnd w:id="1"/>
      <w:r w:rsidR="0010224B">
        <w:rPr>
          <w:rFonts w:ascii="Arial" w:eastAsia="Arial" w:hAnsi="Arial" w:cs="Arial"/>
          <w:sz w:val="22"/>
          <w:szCs w:val="22"/>
          <w:lang w:val="pt-BR"/>
        </w:rPr>
        <w:t>Laboratório 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Forragicultura do Departamento de Zootecnia e Desenvolvimento Rural do Centro de Ciências Agrárias da Universidade Federal de Santa Catarina. Foram </w:t>
      </w:r>
      <w:r>
        <w:rPr>
          <w:rFonts w:ascii="Arial" w:eastAsia="Arial" w:hAnsi="Arial" w:cs="Arial"/>
          <w:sz w:val="22"/>
          <w:szCs w:val="22"/>
          <w:lang w:val="pt-BR"/>
        </w:rPr>
        <w:lastRenderedPageBreak/>
        <w:t>calculadas as médias de qualidade d</w:t>
      </w:r>
      <w:r w:rsidR="00D211C0">
        <w:rPr>
          <w:rFonts w:ascii="Arial" w:eastAsia="Arial" w:hAnsi="Arial" w:cs="Arial"/>
          <w:sz w:val="22"/>
          <w:szCs w:val="22"/>
          <w:lang w:val="pt-BR"/>
        </w:rPr>
        <w:t xml:space="preserve">as forrageiras </w:t>
      </w:r>
      <w:r w:rsidR="009D165B">
        <w:rPr>
          <w:rFonts w:ascii="Arial" w:eastAsia="Arial" w:hAnsi="Arial" w:cs="Arial"/>
          <w:sz w:val="22"/>
          <w:szCs w:val="22"/>
          <w:lang w:val="pt-BR"/>
        </w:rPr>
        <w:t>obtidas nas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diferentes regiões</w:t>
      </w:r>
      <w:r w:rsidR="009D165B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estações</w:t>
      </w:r>
      <w:r w:rsidR="009D165B">
        <w:rPr>
          <w:rFonts w:ascii="Arial" w:eastAsia="Arial" w:hAnsi="Arial" w:cs="Arial"/>
          <w:sz w:val="22"/>
          <w:szCs w:val="22"/>
          <w:lang w:val="pt-BR"/>
        </w:rPr>
        <w:t xml:space="preserve"> do ano, bem como</w:t>
      </w:r>
      <w:r w:rsidR="00871DB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a frequência de espécies e cultivos utilizadas.</w:t>
      </w:r>
    </w:p>
    <w:p w14:paraId="2E9E7922" w14:textId="77777777" w:rsidR="00A74A4F" w:rsidRDefault="00A74A4F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099EB17" w14:textId="77777777" w:rsidR="00A74A4F" w:rsidRDefault="001F5B1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Resultados e discussões: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As espécies do gênero </w:t>
      </w:r>
      <w:r>
        <w:rPr>
          <w:rFonts w:ascii="Arial" w:eastAsia="Arial" w:hAnsi="Arial" w:cs="Arial"/>
          <w:i/>
          <w:sz w:val="22"/>
          <w:szCs w:val="22"/>
          <w:lang w:val="pt-BR"/>
        </w:rPr>
        <w:t>Cynodon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(TIFT, JIGG) são bastante utilizadas no estado (Figura 1), tanto cultivadas de forma única como em consórcio com gramíneas anuais de inverno (ANU) aparecendo em 45% das amostras coletadas. Outra espécie bastante frequente foi o capim pioneiro (PION) que cultivado sozinho ou em consórcio foi identificado em 22% das amostras.  De acordo com Mittelmann (2006), o Capim Kurumi (</w:t>
      </w:r>
      <w:r>
        <w:rPr>
          <w:rFonts w:ascii="Arial" w:eastAsia="Arial" w:hAnsi="Arial" w:cs="Arial"/>
          <w:i/>
          <w:sz w:val="22"/>
          <w:szCs w:val="22"/>
          <w:lang w:val="pt-BR"/>
        </w:rPr>
        <w:t>Pennisetum purpureum</w:t>
      </w:r>
      <w:r>
        <w:rPr>
          <w:rFonts w:ascii="Arial" w:eastAsia="Arial" w:hAnsi="Arial" w:cs="Arial"/>
          <w:sz w:val="22"/>
          <w:szCs w:val="22"/>
          <w:lang w:val="pt-BR"/>
        </w:rPr>
        <w:t>), os cultivares Tifton 85 e o Jiggs (</w:t>
      </w:r>
      <w:r>
        <w:rPr>
          <w:rFonts w:ascii="Arial" w:eastAsia="Arial" w:hAnsi="Arial" w:cs="Arial"/>
          <w:i/>
          <w:sz w:val="22"/>
          <w:szCs w:val="22"/>
          <w:lang w:val="pt-BR"/>
        </w:rPr>
        <w:t>Cynodon dactylon</w:t>
      </w:r>
      <w:r>
        <w:rPr>
          <w:rFonts w:ascii="Arial" w:eastAsia="Arial" w:hAnsi="Arial" w:cs="Arial"/>
          <w:sz w:val="22"/>
          <w:szCs w:val="22"/>
          <w:lang w:val="pt-BR"/>
        </w:rPr>
        <w:t>), além do híbrido Missioneira Gigante (</w:t>
      </w:r>
      <w:r>
        <w:rPr>
          <w:rFonts w:ascii="Arial" w:eastAsia="Arial" w:hAnsi="Arial" w:cs="Arial"/>
          <w:i/>
          <w:sz w:val="22"/>
          <w:szCs w:val="22"/>
          <w:lang w:val="pt-BR"/>
        </w:rPr>
        <w:t>Axonopus catharinensis</w:t>
      </w:r>
      <w:r>
        <w:rPr>
          <w:rFonts w:ascii="Arial" w:eastAsia="Arial" w:hAnsi="Arial" w:cs="Arial"/>
          <w:sz w:val="22"/>
          <w:szCs w:val="22"/>
          <w:lang w:val="pt-BR"/>
        </w:rPr>
        <w:t>), apresentam alta produtividade e adaptação para a região Sul do Brasil, sendo boas opções para a produção leiteira.</w:t>
      </w:r>
    </w:p>
    <w:p w14:paraId="7BDC8DBF" w14:textId="77777777" w:rsidR="00A74A4F" w:rsidRDefault="00A74A4F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736C1A9" w14:textId="77777777" w:rsidR="00A74A4F" w:rsidRDefault="001F5B14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20C8059" wp14:editId="64A4C034">
            <wp:extent cx="4305935" cy="2559050"/>
            <wp:effectExtent l="0" t="0" r="0" b="0"/>
            <wp:docPr id="1" name="image12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2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522C" w14:textId="745DE1E2" w:rsidR="00A74A4F" w:rsidRDefault="001F5B14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Figura 1 – Frequência das espécies </w:t>
      </w:r>
      <w:r w:rsidR="00531CD6">
        <w:rPr>
          <w:rFonts w:ascii="Arial" w:eastAsia="Arial" w:hAnsi="Arial" w:cs="Arial"/>
          <w:sz w:val="22"/>
          <w:szCs w:val="22"/>
          <w:lang w:val="pt-BR"/>
        </w:rPr>
        <w:t xml:space="preserve">nas amostras </w:t>
      </w:r>
      <w:r>
        <w:rPr>
          <w:rFonts w:ascii="Arial" w:eastAsia="Arial" w:hAnsi="Arial" w:cs="Arial"/>
          <w:sz w:val="22"/>
          <w:szCs w:val="22"/>
          <w:lang w:val="pt-BR"/>
        </w:rPr>
        <w:t>coletadas</w:t>
      </w:r>
    </w:p>
    <w:p w14:paraId="094D63C4" w14:textId="77777777" w:rsidR="00A74A4F" w:rsidRDefault="001F5B14">
      <w:pPr>
        <w:ind w:left="709" w:firstLine="11"/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Onde: ANU= Gramíneas Anuais de Inverno; JIGG= Jiggs; KURU= Capim Kurumi; MISS= Missioneira Gigante; PION= Capim Pioneiro; TIFT= Tifton 85; TREV= Trevo.</w:t>
      </w:r>
    </w:p>
    <w:p w14:paraId="78F8FA64" w14:textId="77777777" w:rsidR="00A74A4F" w:rsidRDefault="00A74A4F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2AAC445" w14:textId="057B8D44" w:rsidR="00A74A4F" w:rsidRDefault="001F5B14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Os valores médios de qualidade encontrados por mesorregião (Tabela 1) surpreendem pelos altos valores de PB e baixos de fibra. </w:t>
      </w:r>
    </w:p>
    <w:p w14:paraId="6C383AF1" w14:textId="77777777" w:rsidR="00A74A4F" w:rsidRDefault="00A74A4F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43A3261" w14:textId="4093C01F" w:rsidR="00A74A4F" w:rsidRDefault="001F5B14">
      <w:pPr>
        <w:widowControl w:val="0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 xml:space="preserve">Tabela 1 - Teores médios, mínimos (Mín) e máximos (Máx) de proteína bruta (PB), fibra em detergente ácido (FDA) e fibra em detergente neutro (FDN) por </w:t>
      </w:r>
      <w:r w:rsidR="00C73D0C">
        <w:rPr>
          <w:rFonts w:ascii="Arial" w:eastAsia="Arial" w:hAnsi="Arial" w:cs="Arial"/>
          <w:b/>
          <w:sz w:val="22"/>
          <w:szCs w:val="22"/>
          <w:lang w:val="pt-BR"/>
        </w:rPr>
        <w:t>Mesor</w:t>
      </w:r>
      <w:r>
        <w:rPr>
          <w:rFonts w:ascii="Arial" w:eastAsia="Arial" w:hAnsi="Arial" w:cs="Arial"/>
          <w:b/>
          <w:sz w:val="22"/>
          <w:szCs w:val="22"/>
          <w:lang w:val="pt-BR"/>
        </w:rPr>
        <w:t>região</w:t>
      </w:r>
      <w:r w:rsidR="00C73D0C">
        <w:rPr>
          <w:rFonts w:ascii="Arial" w:eastAsia="Arial" w:hAnsi="Arial" w:cs="Arial"/>
          <w:b/>
          <w:sz w:val="22"/>
          <w:szCs w:val="22"/>
          <w:lang w:val="pt-BR"/>
        </w:rPr>
        <w:t xml:space="preserve"> catarinense</w:t>
      </w:r>
      <w:r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tbl>
      <w:tblPr>
        <w:tblW w:w="907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1781"/>
        <w:gridCol w:w="883"/>
        <w:gridCol w:w="712"/>
        <w:gridCol w:w="712"/>
        <w:gridCol w:w="712"/>
        <w:gridCol w:w="712"/>
        <w:gridCol w:w="712"/>
        <w:gridCol w:w="713"/>
        <w:gridCol w:w="712"/>
        <w:gridCol w:w="712"/>
        <w:gridCol w:w="709"/>
      </w:tblGrid>
      <w:tr w:rsidR="00A74A4F" w14:paraId="267246AF" w14:textId="77777777" w:rsidTr="00871DBA">
        <w:trPr>
          <w:trHeight w:val="195"/>
        </w:trPr>
        <w:tc>
          <w:tcPr>
            <w:tcW w:w="17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8357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Mesorregiões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5AC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84FCB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PB, % da MS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E2A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FDN, % da MS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2A0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FDA, % da MS</w:t>
            </w:r>
          </w:p>
        </w:tc>
      </w:tr>
      <w:tr w:rsidR="00A74A4F" w14:paraId="4980DDB3" w14:textId="77777777" w:rsidTr="00871DBA">
        <w:trPr>
          <w:trHeight w:val="151"/>
        </w:trPr>
        <w:tc>
          <w:tcPr>
            <w:tcW w:w="178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7B1F" w14:textId="77777777" w:rsidR="00A74A4F" w:rsidRDefault="00A74A4F" w:rsidP="00871DB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1C0C" w14:textId="77777777" w:rsidR="00A74A4F" w:rsidRDefault="00A74A4F" w:rsidP="00871DB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AC4A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Mín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41A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F13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A80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Mín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6BEA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CF0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3F37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Mín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EB1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E70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</w:p>
        </w:tc>
      </w:tr>
      <w:tr w:rsidR="00A74A4F" w14:paraId="3A840C51" w14:textId="77777777">
        <w:trPr>
          <w:trHeight w:val="315"/>
        </w:trPr>
        <w:tc>
          <w:tcPr>
            <w:tcW w:w="17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FC5FF28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AVI*</w:t>
            </w:r>
          </w:p>
        </w:tc>
        <w:tc>
          <w:tcPr>
            <w:tcW w:w="8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DA8749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84C8C5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11,31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711D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20,31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1380A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31,82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A641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39,08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E009A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63,67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09C34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75,90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963304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25,23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301CA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33,55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C945B4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41,17</w:t>
            </w:r>
          </w:p>
        </w:tc>
      </w:tr>
      <w:tr w:rsidR="00A74A4F" w14:paraId="62B7E16C" w14:textId="77777777">
        <w:trPr>
          <w:trHeight w:val="315"/>
        </w:trPr>
        <w:tc>
          <w:tcPr>
            <w:tcW w:w="1780" w:type="dxa"/>
            <w:shd w:val="clear" w:color="auto" w:fill="auto"/>
            <w:vAlign w:val="bottom"/>
          </w:tcPr>
          <w:p w14:paraId="76D9581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AVP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B14597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6B8392A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10,82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75D66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21,69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AFE917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31,25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8DFADC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37,48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BDDAC27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58,46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222331B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75,08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50F4B9B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15,34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6D4470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4FF6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39,85</w:t>
            </w:r>
          </w:p>
        </w:tc>
      </w:tr>
      <w:tr w:rsidR="00A74A4F" w14:paraId="5EE77B17" w14:textId="77777777">
        <w:trPr>
          <w:trHeight w:val="315"/>
        </w:trPr>
        <w:tc>
          <w:tcPr>
            <w:tcW w:w="1780" w:type="dxa"/>
            <w:shd w:val="clear" w:color="auto" w:fill="auto"/>
            <w:vAlign w:val="bottom"/>
          </w:tcPr>
          <w:p w14:paraId="434FCA7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EOC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1830F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61A8058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11,43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1BA6DE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20,22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184BFB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30,84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727B41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37,49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341936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59,82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EB8246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76,16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95A5485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21,42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6953D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EE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41,50</w:t>
            </w:r>
          </w:p>
        </w:tc>
      </w:tr>
      <w:tr w:rsidR="00A74A4F" w14:paraId="2E6FA8C7" w14:textId="77777777">
        <w:trPr>
          <w:trHeight w:val="315"/>
        </w:trPr>
        <w:tc>
          <w:tcPr>
            <w:tcW w:w="1780" w:type="dxa"/>
            <w:shd w:val="clear" w:color="auto" w:fill="auto"/>
            <w:vAlign w:val="bottom"/>
          </w:tcPr>
          <w:p w14:paraId="716A1D2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LSC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EECA44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76611A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8,87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1C0FF4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14,20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0F049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23,54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F2EEF1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58,36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6980D78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63,56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2497795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67,78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77D517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31,92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DAA2C61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52DEC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44,00</w:t>
            </w:r>
          </w:p>
        </w:tc>
      </w:tr>
      <w:tr w:rsidR="00A74A4F" w14:paraId="1EED0801" w14:textId="77777777">
        <w:trPr>
          <w:trHeight w:val="315"/>
        </w:trPr>
        <w:tc>
          <w:tcPr>
            <w:tcW w:w="1780" w:type="dxa"/>
            <w:shd w:val="clear" w:color="auto" w:fill="auto"/>
            <w:vAlign w:val="bottom"/>
          </w:tcPr>
          <w:p w14:paraId="0CAA9F4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8AE31FB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DC017F8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9,26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6437E5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18,95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8C12BE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34,01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BD089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42,24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FE748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59,89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FC81376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82,85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99F8237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23,10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5344A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CCDBA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40,22</w:t>
            </w:r>
          </w:p>
        </w:tc>
      </w:tr>
      <w:tr w:rsidR="00A74A4F" w14:paraId="54111DF1" w14:textId="77777777">
        <w:trPr>
          <w:trHeight w:val="315"/>
        </w:trPr>
        <w:tc>
          <w:tcPr>
            <w:tcW w:w="1780" w:type="dxa"/>
            <w:shd w:val="clear" w:color="auto" w:fill="auto"/>
            <w:vAlign w:val="bottom"/>
          </w:tcPr>
          <w:p w14:paraId="0658C105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5F18834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E02ECE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8,39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1468A9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21,56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A3ECF3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29,57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6A14CF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36,71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511D9F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58,08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8E28B3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76,83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6048A73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20,43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403380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4612F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44,24</w:t>
            </w:r>
          </w:p>
        </w:tc>
      </w:tr>
      <w:tr w:rsidR="00A74A4F" w14:paraId="6B7B79F7" w14:textId="77777777">
        <w:trPr>
          <w:trHeight w:val="315"/>
        </w:trPr>
        <w:tc>
          <w:tcPr>
            <w:tcW w:w="1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B68689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PNC</w:t>
            </w:r>
          </w:p>
        </w:tc>
        <w:tc>
          <w:tcPr>
            <w:tcW w:w="8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40366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31A6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12,49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98E2E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18,32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05899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23,65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3AFE9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54,10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05EA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59,52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CF54D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67,64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B7EE2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30,65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FA43A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34,81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C3649" w14:textId="77777777" w:rsidR="00A74A4F" w:rsidRDefault="001F5B14" w:rsidP="00871DBA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41,13</w:t>
            </w:r>
          </w:p>
        </w:tc>
      </w:tr>
    </w:tbl>
    <w:p w14:paraId="7B02E4B3" w14:textId="77777777" w:rsidR="00A74A4F" w:rsidRDefault="001F5B14">
      <w:pPr>
        <w:jc w:val="both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*AVI - Alto Vale do Itajaí. AVP - Alto Vale do Rio do Peixe. EOC - Extremo Oeste Catarinense. LSC - Litoral Sul Catarinense. MOC - Meio Oeste Catarinense. OC - Oeste Catarinense. PNC - Planalto Norte Catarinense. N - Número de amostras.</w:t>
      </w:r>
    </w:p>
    <w:p w14:paraId="390C9D7D" w14:textId="77777777" w:rsidR="00A74A4F" w:rsidRDefault="00A74A4F">
      <w:pPr>
        <w:ind w:firstLine="720"/>
        <w:rPr>
          <w:rFonts w:ascii="Arial" w:eastAsia="Arial" w:hAnsi="Arial" w:cs="Arial"/>
          <w:sz w:val="22"/>
          <w:szCs w:val="22"/>
          <w:lang w:val="pt-BR"/>
        </w:rPr>
      </w:pPr>
    </w:p>
    <w:p w14:paraId="3402A4FE" w14:textId="6AB3B7EF" w:rsidR="00A74A4F" w:rsidRDefault="00871DBA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Os teores médios de PB ficaram acima de 20% para a maior parte das mesorregiões. Ainda assim, o menor valor médio encontrado para PB no litoral Sul foi de 14,2%, com máximo de 23,54%.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F5B14">
        <w:rPr>
          <w:rFonts w:ascii="Arial" w:eastAsia="Arial" w:hAnsi="Arial" w:cs="Arial"/>
          <w:sz w:val="22"/>
          <w:szCs w:val="22"/>
          <w:lang w:val="pt-BR"/>
        </w:rPr>
        <w:t xml:space="preserve">Quando analisadas as médias por estação (Tabela 2) percebe-se que a utilização das espécies temperadas de inverno em sobressemeadura favorece o aumento da qualidade. O Outono foi a estação com menor média de PB, 18,5%, estação considerada a entressafra da produção de pastagens. No entanto, é importante ressaltar que, em todas as estações, a média de PB da pastagem ficou acima de 18%, valor superior ao exigido para vacas em lactação (NASEM, 2021). </w:t>
      </w:r>
    </w:p>
    <w:p w14:paraId="64808348" w14:textId="77777777" w:rsidR="00A74A4F" w:rsidRDefault="00A74A4F">
      <w:pPr>
        <w:ind w:firstLine="720"/>
        <w:rPr>
          <w:rFonts w:ascii="Arial" w:eastAsia="Arial" w:hAnsi="Arial" w:cs="Arial"/>
          <w:sz w:val="22"/>
          <w:szCs w:val="22"/>
          <w:lang w:val="pt-BR"/>
        </w:rPr>
      </w:pPr>
    </w:p>
    <w:p w14:paraId="31394749" w14:textId="33CCD65A" w:rsidR="00A74A4F" w:rsidRDefault="001F5B14">
      <w:pPr>
        <w:widowControl w:val="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>Tabela 2 - Teores médios, mínimos (Mín) e máximos (Máx) de proteína bruta (PB), fibra em detergente ácido (FDA) e fibra em detergente neutro (FDN) por estação</w:t>
      </w:r>
      <w:r w:rsidR="0076171E">
        <w:rPr>
          <w:rFonts w:ascii="Arial" w:eastAsia="Arial" w:hAnsi="Arial" w:cs="Arial"/>
          <w:b/>
          <w:sz w:val="22"/>
          <w:szCs w:val="22"/>
          <w:lang w:val="pt-BR"/>
        </w:rPr>
        <w:t xml:space="preserve"> do ano</w:t>
      </w:r>
      <w:r w:rsidR="00871DBA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tbl>
      <w:tblPr>
        <w:tblW w:w="9214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170"/>
        <w:gridCol w:w="1940"/>
        <w:gridCol w:w="117"/>
        <w:gridCol w:w="2112"/>
        <w:gridCol w:w="118"/>
        <w:gridCol w:w="2206"/>
      </w:tblGrid>
      <w:tr w:rsidR="00A74A4F" w14:paraId="7460808B" w14:textId="77777777" w:rsidTr="00871DBA">
        <w:trPr>
          <w:trHeight w:val="405"/>
        </w:trPr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08518" w14:textId="7B446564" w:rsidR="00A74A4F" w:rsidRDefault="001F5B14" w:rsidP="00871DBA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Estação</w:t>
            </w:r>
            <w:r w:rsidR="007617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ano</w:t>
            </w:r>
          </w:p>
        </w:tc>
        <w:tc>
          <w:tcPr>
            <w:tcW w:w="170" w:type="dxa"/>
            <w:tcBorders>
              <w:top w:val="single" w:sz="4" w:space="0" w:color="000000"/>
            </w:tcBorders>
          </w:tcPr>
          <w:p w14:paraId="60AEF828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3372FBE9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PB, % da MS</w:t>
            </w:r>
          </w:p>
        </w:tc>
        <w:tc>
          <w:tcPr>
            <w:tcW w:w="117" w:type="dxa"/>
            <w:tcBorders>
              <w:top w:val="single" w:sz="4" w:space="0" w:color="000000"/>
            </w:tcBorders>
          </w:tcPr>
          <w:p w14:paraId="5D36EA44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 w14:paraId="1EC61DA1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FDA, % da MS</w:t>
            </w:r>
          </w:p>
        </w:tc>
        <w:tc>
          <w:tcPr>
            <w:tcW w:w="118" w:type="dxa"/>
            <w:tcBorders>
              <w:top w:val="single" w:sz="4" w:space="0" w:color="000000"/>
            </w:tcBorders>
          </w:tcPr>
          <w:p w14:paraId="316B64AF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00025416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FDN, % da MS</w:t>
            </w:r>
          </w:p>
        </w:tc>
      </w:tr>
      <w:tr w:rsidR="00A74A4F" w14:paraId="1166A20D" w14:textId="77777777" w:rsidTr="00871DBA">
        <w:trPr>
          <w:trHeight w:val="242"/>
        </w:trPr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4950" w14:textId="77777777" w:rsidR="00A74A4F" w:rsidRDefault="00A74A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18794A39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211D1D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Média (Min –Max)</w:t>
            </w:r>
          </w:p>
        </w:tc>
      </w:tr>
      <w:tr w:rsidR="00A74A4F" w14:paraId="30FDA0ED" w14:textId="77777777" w:rsidTr="00871DBA">
        <w:trPr>
          <w:trHeight w:val="465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9638F43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Outono (n=72)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14:paraId="6B7BCA92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07172F2A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 (8,9-31,3)</w:t>
            </w: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14:paraId="1F7915EF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 w14:paraId="034B23BB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 (15,3-44,0)</w:t>
            </w: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 w14:paraId="74A66F5C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300AFFA1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61,6 (37,5-76,8)</w:t>
            </w:r>
          </w:p>
        </w:tc>
      </w:tr>
      <w:tr w:rsidR="00A74A4F" w14:paraId="29E8AC8D" w14:textId="77777777" w:rsidTr="00871DBA">
        <w:trPr>
          <w:trHeight w:val="43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D136AFC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Inverno (n=154)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14:paraId="3CFBF294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2895F7FA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 (10,5-34,0)</w:t>
            </w: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14:paraId="1C56EDFE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 w14:paraId="4DF4D747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 (20,4-39,0)</w:t>
            </w: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 w14:paraId="44F3ACDD" w14:textId="77777777" w:rsidR="00A74A4F" w:rsidRDefault="00A74A4F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533B6D9B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50,7 (36,7-71,2)</w:t>
            </w:r>
          </w:p>
        </w:tc>
      </w:tr>
      <w:tr w:rsidR="00A74A4F" w14:paraId="1D6279F7" w14:textId="77777777" w:rsidTr="00871DBA">
        <w:trPr>
          <w:trHeight w:val="42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E305D82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Verão (n=113)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14:paraId="00803E97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52EDCBB8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 (8,6-26,1)  </w:t>
            </w: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14:paraId="07AD39C6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 w14:paraId="1B8E1D66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  (30,2-44,2)  </w:t>
            </w: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 w14:paraId="360A9BEF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500CFD69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 (55,1-76,5)  </w:t>
            </w:r>
          </w:p>
        </w:tc>
      </w:tr>
      <w:tr w:rsidR="00A74A4F" w14:paraId="59822B32" w14:textId="77777777" w:rsidTr="00871DBA">
        <w:trPr>
          <w:trHeight w:val="377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5EDC3E2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Primavera (n=156)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14:paraId="6D80960E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790998EF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 (8,4-27,2) </w:t>
            </w: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14:paraId="003D00CA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 w14:paraId="3F53F184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 (26,9-41,6)  </w:t>
            </w: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 w14:paraId="12652E46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="4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14:paraId="4EACE2B5" w14:textId="77777777" w:rsidR="00A74A4F" w:rsidRDefault="001F5B14">
            <w:pPr>
              <w:pStyle w:val="NormalWeb"/>
              <w:widowControl w:val="0"/>
              <w:shd w:val="clear" w:color="auto" w:fill="FFFFFF"/>
              <w:spacing w:before="40" w:beforeAutospacing="0" w:afterAutospacing="0"/>
              <w:ind w:left="-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62,7  (46,6-82,9)  </w:t>
            </w:r>
          </w:p>
        </w:tc>
      </w:tr>
    </w:tbl>
    <w:p w14:paraId="71BFF726" w14:textId="77777777" w:rsidR="00A74A4F" w:rsidRDefault="00A74A4F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C7972C6" w14:textId="33AA5F18" w:rsidR="00A74A4F" w:rsidRDefault="001F5B14">
      <w:pPr>
        <w:ind w:firstLine="72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A qualidade das pastagens aqui encontradas se assemelha a outros estudos que acompanharam as URT’s orientadas pelos Programas da EPAGRI (FERNANDES &amp; VALOIS, 2021; JOCHIM et al., 2017). De maneira geral, a utilização de espécies perenes melhoradas em consórcio com espécies</w:t>
      </w:r>
      <w:r w:rsidR="000B6764">
        <w:rPr>
          <w:rFonts w:ascii="Arial" w:eastAsia="Arial" w:hAnsi="Arial" w:cs="Arial"/>
          <w:sz w:val="22"/>
          <w:szCs w:val="22"/>
          <w:lang w:val="pt-BR"/>
        </w:rPr>
        <w:t xml:space="preserve"> anuais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temperadas no inverno proporciona forragem de qualidade o ano todo no estado, fomentando assim a pecuária leiteira em Santa Catarina.  </w:t>
      </w:r>
    </w:p>
    <w:p w14:paraId="0A350D72" w14:textId="77777777" w:rsidR="00A74A4F" w:rsidRDefault="00A74A4F">
      <w:pPr>
        <w:spacing w:line="276" w:lineRule="auto"/>
        <w:ind w:firstLine="720"/>
        <w:rPr>
          <w:rFonts w:ascii="Arial" w:eastAsia="Arial" w:hAnsi="Arial" w:cs="Arial"/>
          <w:sz w:val="22"/>
          <w:szCs w:val="22"/>
          <w:lang w:val="pt-BR"/>
        </w:rPr>
      </w:pPr>
    </w:p>
    <w:p w14:paraId="3051771A" w14:textId="77777777" w:rsidR="00A74A4F" w:rsidRDefault="001F5B14">
      <w:pPr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>Conclusão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: A utilização de espécies perenes e anuais temperadas no manejo de pastagens em propriedades catarinenses proporciona pasto de qualidade o ano todo, superando inclusive às exigências de vacas em lactação. </w:t>
      </w:r>
    </w:p>
    <w:p w14:paraId="4052EC20" w14:textId="77777777" w:rsidR="00A74A4F" w:rsidRDefault="00A74A4F">
      <w:pPr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48394CA2" w14:textId="77777777" w:rsidR="00A74A4F" w:rsidRDefault="001F5B14">
      <w:pPr>
        <w:jc w:val="both"/>
        <w:rPr>
          <w:rFonts w:ascii="Cambria" w:eastAsia="Cambria" w:hAnsi="Cambria" w:cs="Cambria"/>
          <w:color w:val="00000A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 xml:space="preserve">Referências: </w:t>
      </w:r>
    </w:p>
    <w:p w14:paraId="593DC7DB" w14:textId="77777777" w:rsidR="00A74A4F" w:rsidRDefault="00A74A4F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228F0B4" w14:textId="77777777" w:rsidR="00A74A4F" w:rsidRDefault="001F5B1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FERNANDES, C.O.M.; VALOIS, C.M. Do pasto ao leite: uma atividade rentável e sustentável. Florianópolis: Epagri, 2021, 76p. (Epagri. Boletim Técnico, 199).</w:t>
      </w:r>
    </w:p>
    <w:p w14:paraId="67A7028E" w14:textId="77777777" w:rsidR="00A74A4F" w:rsidRDefault="00A74A4F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D19E146" w14:textId="77777777" w:rsidR="00A74A4F" w:rsidRDefault="001F5B14">
      <w:pPr>
        <w:pStyle w:val="NormalWeb"/>
        <w:spacing w:beforeAutospacing="0" w:afterAutospacing="0"/>
        <w:jc w:val="both"/>
        <w:rPr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JOCHIM, F.; SILVA, P.A.P.; PORTES, V.M. Utilizando a altura do pasto como ferramenta de manejo de pastagens. Agropecuária Catarinense, 31(2), 42–44. 2018.</w:t>
      </w:r>
    </w:p>
    <w:p w14:paraId="34E3EC2F" w14:textId="77777777" w:rsidR="00A74A4F" w:rsidRDefault="00A74A4F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6E891EE" w14:textId="77777777" w:rsidR="00A74A4F" w:rsidRDefault="001F5B14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MITTELMANN, A. Principais espécies forrageiras. In: PEGORARO, L. M. C. (Ed.). Noções sobre produção de leite. Pelotas: Embrapa Clima Temperado, 2006. 153 p.</w:t>
      </w:r>
    </w:p>
    <w:p w14:paraId="43331C8C" w14:textId="77777777" w:rsidR="00A74A4F" w:rsidRDefault="00A74A4F">
      <w:pPr>
        <w:jc w:val="both"/>
        <w:rPr>
          <w:rFonts w:ascii="Arial" w:eastAsia="Arial" w:hAnsi="Arial" w:cs="Arial"/>
          <w:lang w:val="pt-BR"/>
        </w:rPr>
      </w:pPr>
    </w:p>
    <w:p w14:paraId="1ADAEC78" w14:textId="77777777" w:rsidR="00A74A4F" w:rsidRDefault="001F5B1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NASEM (National Academies of Sciences, Engineering, and Medicine). Nutrient Requirements of Dairy Cattle. 8th rev. ed. The National Academies Press, 2021. </w:t>
      </w:r>
    </w:p>
    <w:p w14:paraId="5BAE879E" w14:textId="77777777" w:rsidR="00A74A4F" w:rsidRDefault="00A74A4F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</w:p>
    <w:p w14:paraId="519591F0" w14:textId="77777777" w:rsidR="00A74A4F" w:rsidRDefault="00A74A4F">
      <w:pPr>
        <w:ind w:right="284"/>
        <w:jc w:val="both"/>
        <w:rPr>
          <w:rFonts w:ascii="Cambria" w:eastAsia="Cambria" w:hAnsi="Cambria" w:cs="Cambria"/>
          <w:color w:val="00000A"/>
        </w:rPr>
      </w:pPr>
    </w:p>
    <w:sectPr w:rsidR="00A74A4F">
      <w:headerReference w:type="default" r:id="rId8"/>
      <w:footerReference w:type="default" r:id="rId9"/>
      <w:pgSz w:w="11906" w:h="16838"/>
      <w:pgMar w:top="1418" w:right="1305" w:bottom="1418" w:left="1418" w:header="0" w:footer="0" w:gutter="0"/>
      <w:pgNumType w:start="1"/>
      <w:cols w:space="720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1FE7AD" w16cex:dateUtc="2023-10-10T15:26:00Z"/>
  <w16cex:commentExtensible w16cex:durableId="79462A1F" w16cex:dateUtc="2023-10-10T17:13:00Z"/>
  <w16cex:commentExtensible w16cex:durableId="5CA49C6E" w16cex:dateUtc="2023-10-10T17:15:00Z"/>
  <w16cex:commentExtensible w16cex:durableId="74806407" w16cex:dateUtc="2023-10-10T17:43:00Z"/>
  <w16cex:commentExtensible w16cex:durableId="3EABFF23" w16cex:dateUtc="2023-10-10T17:36:00Z"/>
  <w16cex:commentExtensible w16cex:durableId="27E8CFB6" w16cex:dateUtc="2023-10-10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A8752" w16cid:durableId="1E1FE7AD"/>
  <w16cid:commentId w16cid:paraId="6A584674" w16cid:durableId="79462A1F"/>
  <w16cid:commentId w16cid:paraId="3B4CE5C3" w16cid:durableId="5CA49C6E"/>
  <w16cid:commentId w16cid:paraId="4E256E90" w16cid:durableId="74806407"/>
  <w16cid:commentId w16cid:paraId="4288C8A6" w16cid:durableId="3EABFF23"/>
  <w16cid:commentId w16cid:paraId="540BE02A" w16cid:durableId="27E8CF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2C375" w14:textId="77777777" w:rsidR="00F537EC" w:rsidRDefault="00F537EC">
      <w:r>
        <w:separator/>
      </w:r>
    </w:p>
  </w:endnote>
  <w:endnote w:type="continuationSeparator" w:id="0">
    <w:p w14:paraId="7C67DDF4" w14:textId="77777777" w:rsidR="00F537EC" w:rsidRDefault="00F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CC60" w14:textId="77777777" w:rsidR="00A74A4F" w:rsidRDefault="00A74A4F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F75C4" w14:textId="77777777" w:rsidR="00F537EC" w:rsidRDefault="00F537EC">
      <w:r>
        <w:separator/>
      </w:r>
    </w:p>
  </w:footnote>
  <w:footnote w:type="continuationSeparator" w:id="0">
    <w:p w14:paraId="0559D29D" w14:textId="77777777" w:rsidR="00F537EC" w:rsidRDefault="00F5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71B9F" w14:textId="77777777" w:rsidR="00A74A4F" w:rsidRDefault="001F5B14">
    <w:pPr>
      <w:spacing w:line="276" w:lineRule="auto"/>
      <w:ind w:left="-540" w:right="280"/>
      <w:jc w:val="center"/>
      <w:rPr>
        <w:rFonts w:ascii="Cambria" w:eastAsia="Cambria" w:hAnsi="Cambria" w:cs="Cambria"/>
        <w:color w:val="00000A"/>
      </w:rPr>
    </w:pPr>
    <w:r>
      <w:rPr>
        <w:noProof/>
      </w:rPr>
      <w:drawing>
        <wp:inline distT="0" distB="0" distL="0" distR="0" wp14:anchorId="76A948B1" wp14:editId="5756ACA1">
          <wp:extent cx="6437630" cy="95694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4F"/>
    <w:rsid w:val="00001F4C"/>
    <w:rsid w:val="00032688"/>
    <w:rsid w:val="000471A8"/>
    <w:rsid w:val="00057DCB"/>
    <w:rsid w:val="00077DB0"/>
    <w:rsid w:val="000B6764"/>
    <w:rsid w:val="000D10FD"/>
    <w:rsid w:val="0010224B"/>
    <w:rsid w:val="001139BB"/>
    <w:rsid w:val="0014752F"/>
    <w:rsid w:val="001F5B14"/>
    <w:rsid w:val="0034141C"/>
    <w:rsid w:val="003A35C9"/>
    <w:rsid w:val="0046646C"/>
    <w:rsid w:val="00473BB3"/>
    <w:rsid w:val="00504D34"/>
    <w:rsid w:val="00527476"/>
    <w:rsid w:val="00531CD6"/>
    <w:rsid w:val="00555580"/>
    <w:rsid w:val="0057062D"/>
    <w:rsid w:val="00591DFC"/>
    <w:rsid w:val="005C4C25"/>
    <w:rsid w:val="00623FE3"/>
    <w:rsid w:val="006449A5"/>
    <w:rsid w:val="00667944"/>
    <w:rsid w:val="00680363"/>
    <w:rsid w:val="006F0461"/>
    <w:rsid w:val="00712279"/>
    <w:rsid w:val="0076171E"/>
    <w:rsid w:val="007634B1"/>
    <w:rsid w:val="007E7169"/>
    <w:rsid w:val="00871DBA"/>
    <w:rsid w:val="009614CB"/>
    <w:rsid w:val="009867D0"/>
    <w:rsid w:val="009879C8"/>
    <w:rsid w:val="009D165B"/>
    <w:rsid w:val="00A34F6A"/>
    <w:rsid w:val="00A74A4F"/>
    <w:rsid w:val="00AC669C"/>
    <w:rsid w:val="00B5066A"/>
    <w:rsid w:val="00B63704"/>
    <w:rsid w:val="00C22EA9"/>
    <w:rsid w:val="00C73D0C"/>
    <w:rsid w:val="00D211C0"/>
    <w:rsid w:val="00D77634"/>
    <w:rsid w:val="00DB12F0"/>
    <w:rsid w:val="00DD0069"/>
    <w:rsid w:val="00F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D35A2"/>
  <w15:docId w15:val="{D544FBE6-64D9-4780-A0D5-0E73675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eastAsia="Arial Unicode MS" w:hAnsi="Cambria" w:cs="Arial Unicode MS"/>
      <w:color w:val="00000A"/>
      <w:u w:color="00000A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449E5"/>
    <w:pPr>
      <w:spacing w:beforeAutospacing="1" w:afterAutospacing="1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077DB0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5C4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4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4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C2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1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dEdv4D5p9DjJSxR/JP8bY7sSeA==">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Kazama</dc:creator>
  <dc:description/>
  <cp:lastModifiedBy>Conta da Microsoft</cp:lastModifiedBy>
  <cp:revision>6</cp:revision>
  <dcterms:created xsi:type="dcterms:W3CDTF">2023-10-16T16:47:00Z</dcterms:created>
  <dcterms:modified xsi:type="dcterms:W3CDTF">2023-10-16T17:46:00Z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ac3b4f7054f72d0a4c3283c9d90825df7df2a65186b97fed6858d2eb90e62fb9</vt:lpwstr>
  </property>
</Properties>
</file>