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Cambria" w:eastAsia="Cambria" w:hAnsi="Cambria" w:cs="Cambria"/>
          <w:noProof/>
          <w:color w:val="00000A"/>
          <w:sz w:val="24"/>
          <w:szCs w:val="24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6500" cy="1115060"/>
            <wp:effectExtent l="0" t="0" r="0" b="0"/>
            <wp:wrapTopAndBottom distT="152400" distB="152400"/>
            <wp:docPr id="1073741829" name="image1.jpg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beçalho SBSS-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8"/>
          <w:szCs w:val="28"/>
        </w:rPr>
        <w:t xml:space="preserve">SOROPREVALÊNCIA DE </w:t>
      </w:r>
      <w:r>
        <w:rPr>
          <w:rFonts w:ascii="Arial" w:eastAsia="Arial" w:hAnsi="Arial" w:cs="Arial"/>
          <w:b/>
          <w:i/>
          <w:sz w:val="28"/>
          <w:szCs w:val="28"/>
        </w:rPr>
        <w:t>NEOSPORA CANINUM</w:t>
      </w:r>
      <w:r>
        <w:rPr>
          <w:rFonts w:ascii="Arial" w:eastAsia="Arial" w:hAnsi="Arial" w:cs="Arial"/>
          <w:b/>
          <w:sz w:val="28"/>
          <w:szCs w:val="28"/>
        </w:rPr>
        <w:t xml:space="preserve"> EM BOVINOS LEITEIROS COM FALHAS REPRODUTIVAS NA MICRORREGIÃO DE XANXERÊ - OESTE DE SANTA CATARINA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center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Eliana Lucia Fiorentin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Juscivete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Fátima Fávero</w:t>
      </w: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Cinara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  <w:u w:val="single"/>
        </w:rPr>
        <w:t>Araldi</w:t>
      </w:r>
      <w:proofErr w:type="spellEnd"/>
      <w:r>
        <w:rPr>
          <w:rFonts w:ascii="Arial" w:eastAsia="Arial" w:hAnsi="Arial" w:cs="Arial"/>
          <w:sz w:val="20"/>
          <w:szCs w:val="20"/>
          <w:u w:val="single"/>
        </w:rPr>
        <w:t xml:space="preserve"> Vicente</w:t>
      </w:r>
      <w:r>
        <w:rPr>
          <w:rFonts w:ascii="Arial" w:eastAsia="Arial" w:hAnsi="Arial" w:cs="Arial"/>
          <w:sz w:val="20"/>
          <w:szCs w:val="20"/>
          <w:u w:val="single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, Rafael </w:t>
      </w:r>
      <w:proofErr w:type="spellStart"/>
      <w:r>
        <w:rPr>
          <w:rFonts w:ascii="Arial" w:eastAsia="Arial" w:hAnsi="Arial" w:cs="Arial"/>
          <w:sz w:val="20"/>
          <w:szCs w:val="20"/>
        </w:rPr>
        <w:t>Betineli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Rizzon</w:t>
      </w:r>
      <w:r>
        <w:rPr>
          <w:rFonts w:ascii="Arial" w:eastAsia="Arial" w:hAnsi="Arial" w:cs="Arial"/>
          <w:sz w:val="20"/>
          <w:szCs w:val="20"/>
          <w:vertAlign w:val="superscript"/>
        </w:rPr>
        <w:t>3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center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Docente do curso de Medicina Veterinária da Universidade Comunitária da Região de Chapecó - </w:t>
      </w:r>
      <w:proofErr w:type="spellStart"/>
      <w:r>
        <w:rPr>
          <w:rFonts w:ascii="Arial" w:eastAsia="Arial" w:hAnsi="Arial" w:cs="Arial"/>
          <w:sz w:val="20"/>
          <w:szCs w:val="20"/>
        </w:rPr>
        <w:t>Unochapecó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  <w:vertAlign w:val="superscript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Discente do curso de Medicina Veterinária da Universidade Comunitária da Região de Chapecó - </w:t>
      </w:r>
      <w:proofErr w:type="spellStart"/>
      <w:r>
        <w:rPr>
          <w:rFonts w:ascii="Arial" w:eastAsia="Arial" w:hAnsi="Arial" w:cs="Arial"/>
          <w:sz w:val="20"/>
          <w:szCs w:val="20"/>
        </w:rPr>
        <w:t>Unochapecó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  <w:vertAlign w:val="superscript"/>
        </w:rPr>
        <w:t xml:space="preserve">3 </w:t>
      </w:r>
      <w:r>
        <w:rPr>
          <w:rFonts w:ascii="Arial" w:eastAsia="Arial" w:hAnsi="Arial" w:cs="Arial"/>
          <w:sz w:val="20"/>
          <w:szCs w:val="20"/>
        </w:rPr>
        <w:t xml:space="preserve">Médico Veterinário - Cooperativa de Produtores de Leite de </w:t>
      </w:r>
      <w:proofErr w:type="spellStart"/>
      <w:r>
        <w:rPr>
          <w:rFonts w:ascii="Arial" w:eastAsia="Arial" w:hAnsi="Arial" w:cs="Arial"/>
          <w:sz w:val="20"/>
          <w:szCs w:val="20"/>
        </w:rPr>
        <w:t>Marema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Cooperma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E-mail: eliana.fiorentin@unochapeco.edu.br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4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Contribuição para a sociedade</w:t>
      </w:r>
      <w:r>
        <w:rPr>
          <w:rFonts w:ascii="Arial" w:eastAsia="Arial" w:hAnsi="Arial" w:cs="Arial"/>
        </w:rPr>
        <w:t xml:space="preserve">: Doenças infecciosas e não-infecciosas causam perdas econômicas importantes para a produção e reprodução na bovinocultura de leite. O presente trabalho teve por objetivo identificar animais soropositivos para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>, um parasita capaz de causar falhas reprodutivas impactantes em rebanhos leiteiros, na microrregião de Xanxerê, no oeste catarinense.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b/>
        </w:rPr>
        <w:t>Palavras-chave</w:t>
      </w:r>
      <w:r>
        <w:rPr>
          <w:rFonts w:ascii="Arial" w:eastAsia="Arial" w:hAnsi="Arial" w:cs="Arial"/>
        </w:rPr>
        <w:t xml:space="preserve">: Aborto, falha reprodutiva, </w:t>
      </w:r>
      <w:proofErr w:type="spellStart"/>
      <w:r>
        <w:rPr>
          <w:rFonts w:ascii="Arial" w:eastAsia="Arial" w:hAnsi="Arial" w:cs="Arial"/>
        </w:rPr>
        <w:t>neosporose</w:t>
      </w:r>
      <w:proofErr w:type="spellEnd"/>
      <w:r>
        <w:rPr>
          <w:rFonts w:ascii="Arial" w:eastAsia="Arial" w:hAnsi="Arial" w:cs="Arial"/>
        </w:rPr>
        <w:t>, bovinocultura leiteira.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Introdução: </w:t>
      </w:r>
      <w:r>
        <w:rPr>
          <w:rFonts w:ascii="Arial" w:eastAsia="Arial" w:hAnsi="Arial" w:cs="Arial"/>
        </w:rPr>
        <w:t xml:space="preserve">Falhas reprodutivas, como absorção embrionária, abortos e repetição de cio, resultam na redução da eficácia reprodutiva e, como resultado, graves perdas econômicas. Com frequência, a origem dessas perdas reprodutivas está associada à incidência de enfermidades infecciosas, como a leptospirose, a </w:t>
      </w:r>
      <w:proofErr w:type="spellStart"/>
      <w:r>
        <w:rPr>
          <w:rFonts w:ascii="Arial" w:eastAsia="Arial" w:hAnsi="Arial" w:cs="Arial"/>
        </w:rPr>
        <w:t>rinotraqueíte</w:t>
      </w:r>
      <w:proofErr w:type="spellEnd"/>
      <w:r>
        <w:rPr>
          <w:rFonts w:ascii="Arial" w:eastAsia="Arial" w:hAnsi="Arial" w:cs="Arial"/>
        </w:rPr>
        <w:t xml:space="preserve"> infecciosa bovina (IBR), a diarreia viral bovina (BVD) e a </w:t>
      </w:r>
      <w:proofErr w:type="spellStart"/>
      <w:r>
        <w:rPr>
          <w:rFonts w:ascii="Arial" w:eastAsia="Arial" w:hAnsi="Arial" w:cs="Arial"/>
        </w:rPr>
        <w:t>neosporose</w:t>
      </w:r>
      <w:proofErr w:type="spellEnd"/>
      <w:r>
        <w:rPr>
          <w:rFonts w:ascii="Arial" w:eastAsia="Arial" w:hAnsi="Arial" w:cs="Arial"/>
        </w:rPr>
        <w:t xml:space="preserve">, acarretando consideráveis impactos econômicos na indústria leiteira. A </w:t>
      </w:r>
      <w:proofErr w:type="spellStart"/>
      <w:r>
        <w:rPr>
          <w:rFonts w:ascii="Arial" w:eastAsia="Arial" w:hAnsi="Arial" w:cs="Arial"/>
        </w:rPr>
        <w:t>neosporose</w:t>
      </w:r>
      <w:proofErr w:type="spellEnd"/>
      <w:r>
        <w:rPr>
          <w:rFonts w:ascii="Arial" w:eastAsia="Arial" w:hAnsi="Arial" w:cs="Arial"/>
        </w:rPr>
        <w:t xml:space="preserve"> é uma doença causada pelo protozoário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, um parasita intracelular, sendo uma das principais causas de abortos em bovinos, o que resulta em perdas econômicas significativas. O cão atua como o hospedeiro definitivo da doença, enquanto o bovino desempenha um papel central como hospedeiro intermediário (LOPES </w:t>
      </w:r>
      <w:r>
        <w:rPr>
          <w:rFonts w:ascii="Arial" w:eastAsia="Arial" w:hAnsi="Arial" w:cs="Arial"/>
          <w:i/>
        </w:rPr>
        <w:t>et al</w:t>
      </w:r>
      <w:r>
        <w:rPr>
          <w:rFonts w:ascii="Arial" w:eastAsia="Arial" w:hAnsi="Arial" w:cs="Arial"/>
        </w:rPr>
        <w:t>., 2022).</w:t>
      </w:r>
      <w:r>
        <w:rPr>
          <w:rFonts w:ascii="Arial" w:eastAsia="Arial" w:hAnsi="Arial" w:cs="Arial"/>
          <w:shd w:val="clear" w:color="auto" w:fill="F7F7F8"/>
        </w:rPr>
        <w:t xml:space="preserve"> </w:t>
      </w:r>
      <w:r>
        <w:rPr>
          <w:rFonts w:ascii="Arial" w:eastAsia="Arial" w:hAnsi="Arial" w:cs="Arial"/>
        </w:rPr>
        <w:t xml:space="preserve">O objetivo deste estudo foi determinar a </w:t>
      </w:r>
      <w:proofErr w:type="spellStart"/>
      <w:r>
        <w:rPr>
          <w:rFonts w:ascii="Arial" w:eastAsia="Arial" w:hAnsi="Arial" w:cs="Arial"/>
        </w:rPr>
        <w:t>soroprevalência</w:t>
      </w:r>
      <w:proofErr w:type="spellEnd"/>
      <w:r>
        <w:rPr>
          <w:rFonts w:ascii="Arial" w:eastAsia="Arial" w:hAnsi="Arial" w:cs="Arial"/>
        </w:rPr>
        <w:t xml:space="preserve"> de anticorpos contra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em bovinos que apresentavam falhas reprodutivas, tais como aborto e repetição de cio, em propriedades leiteiras da microrregião de Xanxerê, </w:t>
      </w:r>
      <w:proofErr w:type="gramStart"/>
      <w:r>
        <w:rPr>
          <w:rFonts w:ascii="Arial" w:eastAsia="Arial" w:hAnsi="Arial" w:cs="Arial"/>
        </w:rPr>
        <w:t>no  oeste</w:t>
      </w:r>
      <w:proofErr w:type="gramEnd"/>
      <w:r>
        <w:rPr>
          <w:rFonts w:ascii="Arial" w:eastAsia="Arial" w:hAnsi="Arial" w:cs="Arial"/>
        </w:rPr>
        <w:t xml:space="preserve"> de Santa Catarina, durante os meses de junho a agosto de 2023. Para tanto, contou-se com a colaboração de Médicos Veterinários parceiros, que identificaram as perdas reprodutivas no campo e solicitaram à Universidade auxílio no diagnóstico.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Material e métodos: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Foram avaliados 31 animais com falhas reprodutivas, incluindo histórico de aborto no terço médio e final de gestação, assim como repetição de cio. Os animais passaram por avaliação ginecológica prévia, não demonstrando alterações clínicas. Amostras de sangue de todos os animais foram coletadas através de </w:t>
      </w:r>
      <w:proofErr w:type="spellStart"/>
      <w:r>
        <w:rPr>
          <w:rFonts w:ascii="Arial" w:eastAsia="Arial" w:hAnsi="Arial" w:cs="Arial"/>
          <w:highlight w:val="white"/>
        </w:rPr>
        <w:t>venopunção</w:t>
      </w:r>
      <w:proofErr w:type="spellEnd"/>
      <w:r>
        <w:rPr>
          <w:rFonts w:ascii="Arial" w:eastAsia="Arial" w:hAnsi="Arial" w:cs="Arial"/>
          <w:highlight w:val="white"/>
        </w:rPr>
        <w:t xml:space="preserve"> coccígea, utilizando tubos a vácuo sem anticoagulante e devidamente identificados. Os mesmos foram armazenados em caixa de isopor com gelo e enviados ao laboratório de Análises Clínicas da Clínica Escola de Medicina Veterinária da </w:t>
      </w:r>
      <w:proofErr w:type="spellStart"/>
      <w:r>
        <w:rPr>
          <w:rFonts w:ascii="Arial" w:eastAsia="Arial" w:hAnsi="Arial" w:cs="Arial"/>
          <w:highlight w:val="white"/>
        </w:rPr>
        <w:t>Unochapecó</w:t>
      </w:r>
      <w:proofErr w:type="spellEnd"/>
      <w:r>
        <w:rPr>
          <w:rFonts w:ascii="Arial" w:eastAsia="Arial" w:hAnsi="Arial" w:cs="Arial"/>
          <w:highlight w:val="white"/>
        </w:rPr>
        <w:t xml:space="preserve">, onde foram centrifugados para a obtenção do soro. Após isso, os mesmos foram </w:t>
      </w:r>
      <w:proofErr w:type="spellStart"/>
      <w:r>
        <w:rPr>
          <w:rFonts w:ascii="Arial" w:eastAsia="Arial" w:hAnsi="Arial" w:cs="Arial"/>
          <w:highlight w:val="white"/>
        </w:rPr>
        <w:t>aliquotados</w:t>
      </w:r>
      <w:proofErr w:type="spellEnd"/>
      <w:r>
        <w:rPr>
          <w:rFonts w:ascii="Arial" w:eastAsia="Arial" w:hAnsi="Arial" w:cs="Arial"/>
          <w:highlight w:val="white"/>
        </w:rPr>
        <w:t xml:space="preserve"> em </w:t>
      </w:r>
      <w:proofErr w:type="spellStart"/>
      <w:r>
        <w:rPr>
          <w:rFonts w:ascii="Arial" w:eastAsia="Arial" w:hAnsi="Arial" w:cs="Arial"/>
          <w:highlight w:val="white"/>
        </w:rPr>
        <w:t>microtubos</w:t>
      </w:r>
      <w:proofErr w:type="spellEnd"/>
      <w:r>
        <w:rPr>
          <w:rFonts w:ascii="Arial" w:eastAsia="Arial" w:hAnsi="Arial" w:cs="Arial"/>
          <w:highlight w:val="white"/>
        </w:rPr>
        <w:t xml:space="preserve">, identificados e armazenados em temperatura de -20ºC, até a realização das análises. Para tanto, foi utilizado um </w:t>
      </w:r>
      <w:r>
        <w:rPr>
          <w:rFonts w:ascii="Arial" w:eastAsia="Arial" w:hAnsi="Arial" w:cs="Arial"/>
          <w:i/>
          <w:highlight w:val="white"/>
        </w:rPr>
        <w:t>kit</w:t>
      </w:r>
      <w:r>
        <w:rPr>
          <w:rFonts w:ascii="Arial" w:eastAsia="Arial" w:hAnsi="Arial" w:cs="Arial"/>
          <w:highlight w:val="white"/>
        </w:rPr>
        <w:t xml:space="preserve"> comercial portátil (</w:t>
      </w:r>
      <w:proofErr w:type="spellStart"/>
      <w:r>
        <w:rPr>
          <w:rFonts w:ascii="Arial" w:eastAsia="Arial" w:hAnsi="Arial" w:cs="Arial"/>
          <w:i/>
          <w:highlight w:val="white"/>
        </w:rPr>
        <w:t>ImmunoComb</w:t>
      </w:r>
      <w:proofErr w:type="spellEnd"/>
      <w:r>
        <w:rPr>
          <w:rFonts w:ascii="Arial" w:eastAsia="Arial" w:hAnsi="Arial" w:cs="Arial"/>
          <w:i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Bovine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Neospora</w:t>
      </w:r>
      <w:proofErr w:type="spellEnd"/>
      <w:r>
        <w:rPr>
          <w:rFonts w:ascii="Arial" w:eastAsia="Arial" w:hAnsi="Arial" w:cs="Arial"/>
          <w:highlight w:val="white"/>
        </w:rPr>
        <w:t xml:space="preserve"> - </w:t>
      </w:r>
      <w:proofErr w:type="spellStart"/>
      <w:r>
        <w:rPr>
          <w:rFonts w:ascii="Arial" w:eastAsia="Arial" w:hAnsi="Arial" w:cs="Arial"/>
          <w:highlight w:val="white"/>
        </w:rPr>
        <w:t>Biogal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Galed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Laboratories</w:t>
      </w:r>
      <w:proofErr w:type="spellEnd"/>
      <w:r>
        <w:rPr>
          <w:rFonts w:ascii="Arial" w:eastAsia="Arial" w:hAnsi="Arial" w:cs="Arial"/>
          <w:highlight w:val="white"/>
        </w:rPr>
        <w:t xml:space="preserve">®), o qual determina anticorpos </w:t>
      </w:r>
      <w:proofErr w:type="spellStart"/>
      <w:r>
        <w:rPr>
          <w:rFonts w:ascii="Arial" w:eastAsia="Arial" w:hAnsi="Arial" w:cs="Arial"/>
          <w:highlight w:val="white"/>
        </w:rPr>
        <w:t>IgG</w:t>
      </w:r>
      <w:proofErr w:type="spellEnd"/>
      <w:r>
        <w:rPr>
          <w:rFonts w:ascii="Arial" w:eastAsia="Arial" w:hAnsi="Arial" w:cs="Arial"/>
          <w:highlight w:val="white"/>
        </w:rPr>
        <w:t xml:space="preserve"> pelo método </w:t>
      </w:r>
      <w:proofErr w:type="spellStart"/>
      <w:r>
        <w:rPr>
          <w:rFonts w:ascii="Arial" w:eastAsia="Arial" w:hAnsi="Arial" w:cs="Arial"/>
          <w:highlight w:val="white"/>
        </w:rPr>
        <w:t>dot</w:t>
      </w:r>
      <w:proofErr w:type="spellEnd"/>
      <w:r>
        <w:rPr>
          <w:rFonts w:ascii="Arial" w:eastAsia="Arial" w:hAnsi="Arial" w:cs="Arial"/>
          <w:highlight w:val="white"/>
        </w:rPr>
        <w:t xml:space="preserve">-ELISA. 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Resultados e discussões: </w:t>
      </w:r>
      <w:r>
        <w:rPr>
          <w:rFonts w:ascii="Arial" w:eastAsia="Arial" w:hAnsi="Arial" w:cs="Arial"/>
        </w:rPr>
        <w:t xml:space="preserve">Os animais estudados eram provenientes de propriedades leiteiras dos municípios de Coronel Martins (3/31), Galvão (2/31), </w:t>
      </w:r>
      <w:proofErr w:type="spellStart"/>
      <w:r>
        <w:rPr>
          <w:rFonts w:ascii="Arial" w:eastAsia="Arial" w:hAnsi="Arial" w:cs="Arial"/>
        </w:rPr>
        <w:t>Marema</w:t>
      </w:r>
      <w:proofErr w:type="spellEnd"/>
      <w:r>
        <w:rPr>
          <w:rFonts w:ascii="Arial" w:eastAsia="Arial" w:hAnsi="Arial" w:cs="Arial"/>
        </w:rPr>
        <w:t xml:space="preserve"> (15/31), São Domingos (9/31) e Xanxerê (2/31), e alocados em sistemas de produção extensivo (3/31), </w:t>
      </w:r>
      <w:proofErr w:type="spellStart"/>
      <w:r>
        <w:rPr>
          <w:rFonts w:ascii="Arial" w:eastAsia="Arial" w:hAnsi="Arial" w:cs="Arial"/>
        </w:rPr>
        <w:t>semi-intensivo</w:t>
      </w:r>
      <w:proofErr w:type="spellEnd"/>
      <w:r>
        <w:rPr>
          <w:rFonts w:ascii="Arial" w:eastAsia="Arial" w:hAnsi="Arial" w:cs="Arial"/>
        </w:rPr>
        <w:t xml:space="preserve"> (16/31) ou intensivo (12/31). Foram en</w:t>
      </w:r>
      <w:r w:rsidR="005E72DB">
        <w:rPr>
          <w:rFonts w:ascii="Arial" w:eastAsia="Arial" w:hAnsi="Arial" w:cs="Arial"/>
        </w:rPr>
        <w:t xml:space="preserve">contrados 17 animais positivos, </w:t>
      </w:r>
      <w:r w:rsidR="005E72DB">
        <w:rPr>
          <w:rFonts w:ascii="Cambria" w:eastAsia="Cambria" w:hAnsi="Cambria" w:cs="Cambria"/>
          <w:noProof/>
          <w:color w:val="00000A"/>
          <w:sz w:val="24"/>
          <w:szCs w:val="24"/>
        </w:rPr>
        <w:lastRenderedPageBreak/>
        <w:drawing>
          <wp:anchor distT="152400" distB="152400" distL="152400" distR="152400" simplePos="0" relativeHeight="251662336" behindDoc="0" locked="0" layoutInCell="1" hidden="0" allowOverlap="1" wp14:anchorId="3A4CF6AC" wp14:editId="359FE4A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115060"/>
            <wp:effectExtent l="0" t="0" r="6350" b="8890"/>
            <wp:wrapTopAndBottom distT="152400" distB="152400"/>
            <wp:docPr id="1" name="image1.jpg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beçalho SBSS-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representando 54,8% dos animais estudados, e 14 animais negativos, resultando em 45,2% das vacas avaliadas. Não foram encontrados estudos regionais que determinem a </w:t>
      </w:r>
      <w:proofErr w:type="spellStart"/>
      <w:r>
        <w:rPr>
          <w:rFonts w:ascii="Arial" w:eastAsia="Arial" w:hAnsi="Arial" w:cs="Arial"/>
        </w:rPr>
        <w:t>soroprevalência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em animais com falhas reprodutivas. Em um estudo realizado no município de Flórida (PR</w:t>
      </w:r>
      <w:proofErr w:type="gramStart"/>
      <w:r>
        <w:rPr>
          <w:rFonts w:ascii="Arial" w:eastAsia="Arial" w:hAnsi="Arial" w:cs="Arial"/>
        </w:rPr>
        <w:t xml:space="preserve">),  </w:t>
      </w:r>
      <w:proofErr w:type="spellStart"/>
      <w:r>
        <w:rPr>
          <w:rFonts w:ascii="Arial" w:eastAsia="Arial" w:hAnsi="Arial" w:cs="Arial"/>
        </w:rPr>
        <w:t>Storte</w:t>
      </w:r>
      <w:proofErr w:type="spellEnd"/>
      <w:proofErr w:type="gramEnd"/>
      <w:r>
        <w:rPr>
          <w:rFonts w:ascii="Arial" w:eastAsia="Arial" w:hAnsi="Arial" w:cs="Arial"/>
        </w:rPr>
        <w:t xml:space="preserve"> (2021) identificou 28% de animais soropositivos para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entre 118 animais de rebanhos aleatórios e utilizando a técnica de </w:t>
      </w:r>
      <w:proofErr w:type="spellStart"/>
      <w:r>
        <w:rPr>
          <w:rFonts w:ascii="Arial" w:eastAsia="Arial" w:hAnsi="Arial" w:cs="Arial"/>
        </w:rPr>
        <w:t>imunofluorescência</w:t>
      </w:r>
      <w:proofErr w:type="spellEnd"/>
      <w:r>
        <w:rPr>
          <w:rFonts w:ascii="Arial" w:eastAsia="Arial" w:hAnsi="Arial" w:cs="Arial"/>
        </w:rPr>
        <w:t xml:space="preserve"> indireta (RIFI). Utilizando a mesma técnica, Lorenzetti </w:t>
      </w:r>
      <w:r>
        <w:rPr>
          <w:rFonts w:ascii="Arial" w:eastAsia="Arial" w:hAnsi="Arial" w:cs="Arial"/>
          <w:i/>
        </w:rPr>
        <w:t>et al</w:t>
      </w:r>
      <w:r>
        <w:rPr>
          <w:rFonts w:ascii="Arial" w:eastAsia="Arial" w:hAnsi="Arial" w:cs="Arial"/>
        </w:rPr>
        <w:t xml:space="preserve">. (2016) estudaram 299 bovinos leiteiros do município de Concórdia (SC), também de rebanhos aleatórios, onde 7,7% deles foi positivo para </w:t>
      </w:r>
      <w:proofErr w:type="spellStart"/>
      <w:r>
        <w:rPr>
          <w:rFonts w:ascii="Arial" w:eastAsia="Arial" w:hAnsi="Arial" w:cs="Arial"/>
        </w:rPr>
        <w:t>Neosporose</w:t>
      </w:r>
      <w:proofErr w:type="spellEnd"/>
      <w:r>
        <w:rPr>
          <w:rFonts w:ascii="Arial" w:eastAsia="Arial" w:hAnsi="Arial" w:cs="Arial"/>
        </w:rPr>
        <w:t xml:space="preserve">. Em nosso estudo, dentre os animais soropositivos, 29,4% (5/17) abortaram no terço médio ou final da gestação, enquanto que 70,6% (12/17) repetiam cio. Já dentre os animais soronegativos, 50,00% (7/14) apresentaram aborto no terço médio ou final da gestação, 35,71% (5/14) demonstraram repetição de cio e 14,29% (2/14) apresentaram ambas as alterações. Contrariando a literatura que afirma que os principais sinais clínicos que surgem em rebanhos infectados por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são o aborto e o nascimento de terneiros fracos (FISCHER </w:t>
      </w:r>
      <w:r>
        <w:rPr>
          <w:rFonts w:ascii="Arial" w:eastAsia="Arial" w:hAnsi="Arial" w:cs="Arial"/>
          <w:i/>
        </w:rPr>
        <w:t xml:space="preserve">et al., </w:t>
      </w:r>
      <w:r>
        <w:rPr>
          <w:rFonts w:ascii="Arial" w:eastAsia="Arial" w:hAnsi="Arial" w:cs="Arial"/>
        </w:rPr>
        <w:t xml:space="preserve">2018), este estudo verificou que a maior prevalência de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aconteceu em animais com repetição de cio.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Gráfico 1 - </w:t>
      </w:r>
      <w:proofErr w:type="spellStart"/>
      <w:r>
        <w:rPr>
          <w:rFonts w:ascii="Arial" w:eastAsia="Arial" w:hAnsi="Arial" w:cs="Arial"/>
          <w:b/>
        </w:rPr>
        <w:t>Soroprevalência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  <w:i/>
        </w:rPr>
        <w:t>Neospora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caninum</w:t>
      </w:r>
      <w:proofErr w:type="spellEnd"/>
      <w:r>
        <w:rPr>
          <w:rFonts w:ascii="Arial" w:eastAsia="Arial" w:hAnsi="Arial" w:cs="Arial"/>
          <w:b/>
        </w:rPr>
        <w:t xml:space="preserve"> na microrregião de Xanxerê - Oeste de Santa Catarina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114300" distB="114300" distL="114300" distR="114300">
            <wp:extent cx="5734050" cy="3597660"/>
            <wp:effectExtent l="0" t="0" r="0" b="0"/>
            <wp:docPr id="107374183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97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5854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Fonte: Autores, 2023.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5E72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bookmarkStart w:id="1" w:name="_GoBack"/>
      <w:bookmarkEnd w:id="1"/>
      <w:r>
        <w:rPr>
          <w:rFonts w:ascii="Cambria" w:eastAsia="Cambria" w:hAnsi="Cambria" w:cs="Cambria"/>
          <w:noProof/>
          <w:color w:val="00000A"/>
          <w:sz w:val="24"/>
          <w:szCs w:val="24"/>
        </w:rPr>
        <w:lastRenderedPageBreak/>
        <w:drawing>
          <wp:anchor distT="152400" distB="152400" distL="152400" distR="152400" simplePos="0" relativeHeight="251664384" behindDoc="0" locked="0" layoutInCell="1" hidden="0" allowOverlap="1" wp14:anchorId="3A4CF6AC" wp14:editId="359FE4A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6500" cy="1115060"/>
            <wp:effectExtent l="0" t="0" r="6350" b="8890"/>
            <wp:wrapTopAndBottom distT="152400" distB="152400"/>
            <wp:docPr id="2" name="image1.jpg" descr="Cabeçalho SBSS-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beçalho SBSS-0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5854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Gráfico 2 - Animais com falhas                        Gráfico 3 - Animais com falhas</w:t>
      </w: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reprodutivas</w:t>
      </w:r>
      <w:proofErr w:type="gramEnd"/>
      <w:r>
        <w:rPr>
          <w:rFonts w:ascii="Arial" w:eastAsia="Arial" w:hAnsi="Arial" w:cs="Arial"/>
          <w:b/>
        </w:rPr>
        <w:t xml:space="preserve"> soropositivos para                      reprodutivas soronegativos para</w:t>
      </w: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</w:rPr>
      </w:pPr>
      <w:proofErr w:type="spellStart"/>
      <w:r>
        <w:rPr>
          <w:rFonts w:ascii="Arial" w:eastAsia="Arial" w:hAnsi="Arial" w:cs="Arial"/>
          <w:b/>
          <w:i/>
        </w:rPr>
        <w:t>Neospora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caninum</w:t>
      </w:r>
      <w:proofErr w:type="spellEnd"/>
      <w:r>
        <w:rPr>
          <w:rFonts w:ascii="Arial" w:eastAsia="Arial" w:hAnsi="Arial" w:cs="Arial"/>
          <w:b/>
          <w:i/>
        </w:rPr>
        <w:t xml:space="preserve">                                            </w:t>
      </w:r>
      <w:proofErr w:type="spellStart"/>
      <w:r>
        <w:rPr>
          <w:rFonts w:ascii="Arial" w:eastAsia="Arial" w:hAnsi="Arial" w:cs="Arial"/>
          <w:b/>
          <w:i/>
        </w:rPr>
        <w:t>Neospora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caninum</w:t>
      </w:r>
      <w:proofErr w:type="spellEnd"/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2962275</wp:posOffset>
            </wp:positionH>
            <wp:positionV relativeFrom="paragraph">
              <wp:posOffset>257175</wp:posOffset>
            </wp:positionV>
            <wp:extent cx="2800350" cy="2345830"/>
            <wp:effectExtent l="0" t="0" r="0" b="0"/>
            <wp:wrapNone/>
            <wp:docPr id="107374183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3458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257175</wp:posOffset>
            </wp:positionV>
            <wp:extent cx="2733675" cy="2343150"/>
            <wp:effectExtent l="0" t="0" r="0" b="0"/>
            <wp:wrapNone/>
            <wp:docPr id="107374183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343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Fonte: Autores, 2023.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Conclusão</w:t>
      </w:r>
      <w:r>
        <w:rPr>
          <w:rFonts w:ascii="Arial" w:eastAsia="Arial" w:hAnsi="Arial" w:cs="Arial"/>
        </w:rPr>
        <w:t xml:space="preserve">: Conclui-se que a </w:t>
      </w:r>
      <w:proofErr w:type="spellStart"/>
      <w:r>
        <w:rPr>
          <w:rFonts w:ascii="Arial" w:eastAsia="Arial" w:hAnsi="Arial" w:cs="Arial"/>
        </w:rPr>
        <w:t>soroprevalência</w:t>
      </w:r>
      <w:proofErr w:type="spellEnd"/>
      <w:r>
        <w:rPr>
          <w:rFonts w:ascii="Arial" w:eastAsia="Arial" w:hAnsi="Arial" w:cs="Arial"/>
        </w:rPr>
        <w:t xml:space="preserve"> de anticorpos contra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em bovinos que apresentavam falhas reprodutivas, tais como aborto e repetição de cio, aumenta em relação a estudos que avaliam animais sem histórico reprodutivo conhecido, sugerindo que novos estudos avaliem as falhas reprodutivas como fatores de risco para a ocorrência da doença. 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Arial" w:eastAsia="Arial" w:hAnsi="Arial" w:cs="Arial"/>
          <w:b/>
        </w:rPr>
        <w:t xml:space="preserve">Agradecimento: </w:t>
      </w:r>
      <w:proofErr w:type="spellStart"/>
      <w:r>
        <w:rPr>
          <w:rFonts w:ascii="Arial" w:eastAsia="Arial" w:hAnsi="Arial" w:cs="Arial"/>
        </w:rPr>
        <w:t>Agroveterinária</w:t>
      </w:r>
      <w:proofErr w:type="spellEnd"/>
      <w:r>
        <w:rPr>
          <w:rFonts w:ascii="Arial" w:eastAsia="Arial" w:hAnsi="Arial" w:cs="Arial"/>
        </w:rPr>
        <w:t xml:space="preserve"> Estância Gaúcha e Cooperativa de Produtores de Leite de </w:t>
      </w:r>
      <w:proofErr w:type="spellStart"/>
      <w:r>
        <w:rPr>
          <w:rFonts w:ascii="Arial" w:eastAsia="Arial" w:hAnsi="Arial" w:cs="Arial"/>
        </w:rPr>
        <w:t>Marema</w:t>
      </w:r>
      <w:proofErr w:type="spellEnd"/>
      <w:r>
        <w:rPr>
          <w:rFonts w:ascii="Arial" w:eastAsia="Arial" w:hAnsi="Arial" w:cs="Arial"/>
        </w:rPr>
        <w:t xml:space="preserve"> (COOPERMA).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Referências: 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FISCHER, G. </w:t>
      </w:r>
      <w:r>
        <w:rPr>
          <w:rFonts w:ascii="Arial" w:eastAsia="Arial" w:hAnsi="Arial" w:cs="Arial"/>
          <w:i/>
          <w:highlight w:val="white"/>
        </w:rPr>
        <w:t>et al</w:t>
      </w:r>
      <w:r>
        <w:rPr>
          <w:rFonts w:ascii="Arial" w:eastAsia="Arial" w:hAnsi="Arial" w:cs="Arial"/>
          <w:highlight w:val="white"/>
        </w:rPr>
        <w:t xml:space="preserve">. Principais doenças da bovinocultura leiteira. </w:t>
      </w:r>
      <w:r>
        <w:rPr>
          <w:rFonts w:ascii="Arial" w:eastAsia="Arial" w:hAnsi="Arial" w:cs="Arial"/>
          <w:i/>
          <w:highlight w:val="white"/>
        </w:rPr>
        <w:t xml:space="preserve">In: </w:t>
      </w:r>
      <w:r>
        <w:rPr>
          <w:rFonts w:ascii="Arial" w:eastAsia="Arial" w:hAnsi="Arial" w:cs="Arial"/>
          <w:highlight w:val="white"/>
        </w:rPr>
        <w:t xml:space="preserve">PEGORARO, L. M. C. </w:t>
      </w:r>
      <w:proofErr w:type="spellStart"/>
      <w:r>
        <w:rPr>
          <w:rFonts w:ascii="Arial" w:eastAsia="Arial" w:hAnsi="Arial" w:cs="Arial"/>
          <w:highlight w:val="white"/>
        </w:rPr>
        <w:t>Biosseguridade</w:t>
      </w:r>
      <w:proofErr w:type="spellEnd"/>
      <w:r>
        <w:rPr>
          <w:rFonts w:ascii="Arial" w:eastAsia="Arial" w:hAnsi="Arial" w:cs="Arial"/>
          <w:highlight w:val="white"/>
        </w:rPr>
        <w:t xml:space="preserve"> na bovinocultura leiteira. 1. ed.  </w:t>
      </w:r>
      <w:proofErr w:type="gramStart"/>
      <w:r>
        <w:rPr>
          <w:rFonts w:ascii="Arial" w:eastAsia="Arial" w:hAnsi="Arial" w:cs="Arial"/>
          <w:highlight w:val="white"/>
        </w:rPr>
        <w:t>Pelotas :</w:t>
      </w:r>
      <w:proofErr w:type="gramEnd"/>
      <w:r>
        <w:rPr>
          <w:rFonts w:ascii="Arial" w:eastAsia="Arial" w:hAnsi="Arial" w:cs="Arial"/>
          <w:highlight w:val="white"/>
        </w:rPr>
        <w:t xml:space="preserve"> Embrapa Clima Temperado, 2018. </w:t>
      </w:r>
      <w:proofErr w:type="gramStart"/>
      <w:r>
        <w:rPr>
          <w:rFonts w:ascii="Arial" w:eastAsia="Arial" w:hAnsi="Arial" w:cs="Arial"/>
          <w:highlight w:val="white"/>
        </w:rPr>
        <w:t>p</w:t>
      </w:r>
      <w:proofErr w:type="gramEnd"/>
      <w:r>
        <w:rPr>
          <w:rFonts w:ascii="Arial" w:eastAsia="Arial" w:hAnsi="Arial" w:cs="Arial"/>
          <w:highlight w:val="white"/>
        </w:rPr>
        <w:t xml:space="preserve"> 13-27.</w:t>
      </w:r>
    </w:p>
    <w:p w:rsidR="00127A8E" w:rsidRDefault="00127A8E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</w:p>
    <w:p w:rsidR="00127A8E" w:rsidRDefault="00F45854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>LOPES, C.S.; JÚNIOR, A.M.M.; VARELLA, G.O.M.; ARAUJO, R.F.; ÂNGELO, F.F.;</w:t>
      </w:r>
    </w:p>
    <w:p w:rsidR="00127A8E" w:rsidRDefault="00F45854">
      <w:pPr>
        <w:spacing w:after="0" w:line="24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highlight w:val="white"/>
        </w:rPr>
        <w:t xml:space="preserve">SALES, J.N.S. Importantes doenças bacterianas, virais e parasitárias abortivas em bovinos – Revisão. </w:t>
      </w:r>
      <w:proofErr w:type="spellStart"/>
      <w:r>
        <w:rPr>
          <w:rFonts w:ascii="Arial" w:eastAsia="Arial" w:hAnsi="Arial" w:cs="Arial"/>
          <w:highlight w:val="white"/>
        </w:rPr>
        <w:t>Research</w:t>
      </w:r>
      <w:proofErr w:type="spellEnd"/>
      <w:r>
        <w:rPr>
          <w:rFonts w:ascii="Arial" w:eastAsia="Arial" w:hAnsi="Arial" w:cs="Arial"/>
          <w:highlight w:val="white"/>
        </w:rPr>
        <w:t xml:space="preserve">, </w:t>
      </w:r>
      <w:proofErr w:type="spellStart"/>
      <w:r>
        <w:rPr>
          <w:rFonts w:ascii="Arial" w:eastAsia="Arial" w:hAnsi="Arial" w:cs="Arial"/>
          <w:highlight w:val="white"/>
        </w:rPr>
        <w:t>Society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and</w:t>
      </w:r>
      <w:proofErr w:type="spellEnd"/>
      <w:r>
        <w:rPr>
          <w:rFonts w:ascii="Arial" w:eastAsia="Arial" w:hAnsi="Arial" w:cs="Arial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highlight w:val="white"/>
        </w:rPr>
        <w:t>Development</w:t>
      </w:r>
      <w:proofErr w:type="spellEnd"/>
      <w:r>
        <w:rPr>
          <w:rFonts w:ascii="Arial" w:eastAsia="Arial" w:hAnsi="Arial" w:cs="Arial"/>
          <w:highlight w:val="white"/>
        </w:rPr>
        <w:t>, v.11, n.4, p.1-13, 2022.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STORTE, V. S. </w:t>
      </w:r>
      <w:proofErr w:type="spellStart"/>
      <w:r>
        <w:rPr>
          <w:rFonts w:ascii="Arial" w:eastAsia="Arial" w:hAnsi="Arial" w:cs="Arial"/>
        </w:rPr>
        <w:t>Soroprevalêcia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  <w:i/>
        </w:rPr>
        <w:t>Neospora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caninum</w:t>
      </w:r>
      <w:proofErr w:type="spellEnd"/>
      <w:r>
        <w:rPr>
          <w:rFonts w:ascii="Arial" w:eastAsia="Arial" w:hAnsi="Arial" w:cs="Arial"/>
        </w:rPr>
        <w:t xml:space="preserve"> em bovinos leiteiros do município de Flórida, estado do Paraná, Brasil. 2021. 45 f. Dissertação (Mestrado em Saúde Animal) - Universidade Pitágoras UNOPAR, São Paulo, 2010.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F458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LORENZETT, M. P. </w:t>
      </w:r>
      <w:r>
        <w:rPr>
          <w:rFonts w:ascii="Arial" w:eastAsia="Arial" w:hAnsi="Arial" w:cs="Arial"/>
          <w:i/>
        </w:rPr>
        <w:t>et al</w:t>
      </w:r>
      <w:r>
        <w:rPr>
          <w:rFonts w:ascii="Arial" w:eastAsia="Arial" w:hAnsi="Arial" w:cs="Arial"/>
        </w:rPr>
        <w:t xml:space="preserve">., </w:t>
      </w:r>
      <w:r>
        <w:rPr>
          <w:rFonts w:ascii="Arial" w:eastAsia="Arial" w:hAnsi="Arial" w:cs="Arial"/>
          <w:highlight w:val="white"/>
        </w:rPr>
        <w:t xml:space="preserve">Ocorrência de anticorpos </w:t>
      </w:r>
      <w:proofErr w:type="spellStart"/>
      <w:r>
        <w:rPr>
          <w:rFonts w:ascii="Arial" w:eastAsia="Arial" w:hAnsi="Arial" w:cs="Arial"/>
          <w:highlight w:val="white"/>
        </w:rPr>
        <w:t>anti-</w:t>
      </w:r>
      <w:r>
        <w:rPr>
          <w:rFonts w:ascii="Arial" w:eastAsia="Arial" w:hAnsi="Arial" w:cs="Arial"/>
          <w:i/>
          <w:highlight w:val="white"/>
        </w:rPr>
        <w:t>Neospora</w:t>
      </w:r>
      <w:proofErr w:type="spellEnd"/>
      <w:r>
        <w:rPr>
          <w:rFonts w:ascii="Arial" w:eastAsia="Arial" w:hAnsi="Arial" w:cs="Arial"/>
          <w:i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highlight w:val="white"/>
        </w:rPr>
        <w:t>caninum</w:t>
      </w:r>
      <w:proofErr w:type="spellEnd"/>
      <w:r>
        <w:rPr>
          <w:rFonts w:ascii="Arial" w:eastAsia="Arial" w:hAnsi="Arial" w:cs="Arial"/>
          <w:highlight w:val="white"/>
        </w:rPr>
        <w:t xml:space="preserve"> em bovinos leiteiros no oeste do estado de Santa Catarina, Brasil.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white"/>
        </w:rPr>
        <w:t xml:space="preserve">Rev. Bras. Med. </w:t>
      </w:r>
      <w:proofErr w:type="gramStart"/>
      <w:r>
        <w:rPr>
          <w:rFonts w:ascii="Arial" w:eastAsia="Arial" w:hAnsi="Arial" w:cs="Arial"/>
          <w:highlight w:val="white"/>
        </w:rPr>
        <w:t>Vet.,</w:t>
      </w:r>
      <w:proofErr w:type="gramEnd"/>
      <w:r>
        <w:rPr>
          <w:rFonts w:ascii="Arial" w:eastAsia="Arial" w:hAnsi="Arial" w:cs="Arial"/>
          <w:highlight w:val="white"/>
        </w:rPr>
        <w:t xml:space="preserve"> v. 38: p.243-249, </w:t>
      </w:r>
      <w:proofErr w:type="spellStart"/>
      <w:r>
        <w:rPr>
          <w:rFonts w:ascii="Arial" w:eastAsia="Arial" w:hAnsi="Arial" w:cs="Arial"/>
          <w:highlight w:val="white"/>
        </w:rPr>
        <w:t>jul</w:t>
      </w:r>
      <w:proofErr w:type="spellEnd"/>
      <w:r>
        <w:rPr>
          <w:rFonts w:ascii="Arial" w:eastAsia="Arial" w:hAnsi="Arial" w:cs="Arial"/>
          <w:highlight w:val="white"/>
        </w:rPr>
        <w:t>/set 2016.</w:t>
      </w:r>
    </w:p>
    <w:p w:rsidR="00127A8E" w:rsidRDefault="0012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27A8E" w:rsidRDefault="00127A8E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bookmarkStart w:id="2" w:name="_heading=h.rubtyp9rfqq4" w:colFirst="0" w:colLast="0"/>
      <w:bookmarkEnd w:id="2"/>
    </w:p>
    <w:p w:rsidR="00127A8E" w:rsidRDefault="00127A8E">
      <w:pPr>
        <w:spacing w:after="0" w:line="240" w:lineRule="auto"/>
      </w:pPr>
    </w:p>
    <w:sectPr w:rsidR="00127A8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8E"/>
    <w:rsid w:val="00127A8E"/>
    <w:rsid w:val="005E72DB"/>
    <w:rsid w:val="00F4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341A3-DC47-4A27-B1EB-914F800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uiPriority w:val="99"/>
    <w:unhideWhenUsed/>
    <w:rsid w:val="00B22AAC"/>
    <w:rPr>
      <w:color w:val="0563C1" w:themeColor="hyperlink"/>
      <w:u w:val="single"/>
    </w:rPr>
  </w:style>
  <w:style w:type="table" w:customStyle="1" w:styleId="TableNormal0">
    <w:name w:val="Table Normal"/>
    <w:rsid w:val="003B5D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-normal">
    <w:name w:val="LO-normal"/>
    <w:rsid w:val="003B5D2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mbria" w:eastAsia="Arial Unicode MS" w:hAnsi="Cambria" w:cs="Arial Unicode MS"/>
      <w:color w:val="00000A"/>
      <w:sz w:val="24"/>
      <w:szCs w:val="24"/>
      <w:u w:color="00000A"/>
      <w:bdr w:val="nil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A2rS/9Ucg36K4Rylwg6sJuKig==">CgMxLjAyCGguZ2pkZ3hzMg5oLnJ1YnR5cDlyZnFxNDgAciExTTVSTTRBa1NHQzBnY2ZFM29vMGN2QWFBOU9MNEUwTVo=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1047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Gui Vicente.</dc:creator>
  <cp:lastModifiedBy>- Gui Vicente.</cp:lastModifiedBy>
  <cp:revision>3</cp:revision>
  <dcterms:created xsi:type="dcterms:W3CDTF">2023-09-12T22:44:00Z</dcterms:created>
  <dcterms:modified xsi:type="dcterms:W3CDTF">2023-10-24T17:51:00Z</dcterms:modified>
</cp:coreProperties>
</file>