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57C4" w14:textId="77777777" w:rsidR="009F48AE" w:rsidRDefault="00000000">
      <w:pPr>
        <w:pStyle w:val="LO-normal"/>
        <w:spacing w:line="276" w:lineRule="auto"/>
        <w:rPr>
          <w:rFonts w:ascii="Cambria" w:eastAsia="Cambria" w:hAnsi="Cambria" w:cs="Cambria"/>
          <w:color w:val="00000A"/>
        </w:rPr>
      </w:pPr>
      <w:r>
        <w:rPr>
          <w:rFonts w:ascii="Cambria" w:eastAsia="Cambria" w:hAnsi="Cambria" w:cs="Cambria"/>
          <w:noProof/>
          <w:color w:val="00000A"/>
        </w:rPr>
        <w:drawing>
          <wp:anchor distT="0" distB="152400" distL="152400" distR="152400" simplePos="0" relativeHeight="2" behindDoc="0" locked="0" layoutInCell="0" allowOverlap="1" wp14:anchorId="0A5157E9" wp14:editId="0A5157E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500" cy="1115060"/>
            <wp:effectExtent l="0" t="0" r="0" b="0"/>
            <wp:wrapTopAndBottom/>
            <wp:docPr id="1" name="image2.jpg" descr="Cabeçalho SBS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Cabeçalho SBSS-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5157C5" w14:textId="77777777" w:rsidR="009F48AE" w:rsidRDefault="00000000">
      <w:pPr>
        <w:pStyle w:val="LO-normal"/>
        <w:spacing w:line="276" w:lineRule="auto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Colibacilose e salmonelose septicêmica em bezerra leiteira de 2 dias de idade</w:t>
      </w:r>
    </w:p>
    <w:p w14:paraId="0E691847" w14:textId="77777777" w:rsidR="006E3145" w:rsidRPr="00AE602B" w:rsidRDefault="006E3145" w:rsidP="006E31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/>
          <w:b/>
          <w:color w:val="000000"/>
          <w:sz w:val="22"/>
          <w:szCs w:val="22"/>
        </w:rPr>
      </w:pPr>
    </w:p>
    <w:p w14:paraId="70D50527" w14:textId="77777777" w:rsidR="006E3145" w:rsidRPr="00AE602B" w:rsidRDefault="006E3145" w:rsidP="006E3145">
      <w:pPr>
        <w:jc w:val="center"/>
        <w:rPr>
          <w:rFonts w:ascii="Arial" w:eastAsia="Arial" w:hAnsi="Arial"/>
          <w:color w:val="000000"/>
          <w:sz w:val="22"/>
          <w:szCs w:val="22"/>
        </w:rPr>
      </w:pPr>
      <w:r w:rsidRPr="00AE602B">
        <w:rPr>
          <w:rFonts w:ascii="Arial" w:eastAsia="Arial" w:hAnsi="Arial"/>
          <w:sz w:val="22"/>
          <w:szCs w:val="22"/>
          <w:u w:val="single"/>
        </w:rPr>
        <w:t>Cláudia Balzan</w:t>
      </w:r>
      <w:r w:rsidRPr="00AE602B">
        <w:rPr>
          <w:rFonts w:ascii="Arial" w:eastAsia="Arial" w:hAnsi="Arial"/>
          <w:sz w:val="22"/>
          <w:szCs w:val="22"/>
          <w:u w:val="single"/>
          <w:vertAlign w:val="superscript"/>
        </w:rPr>
        <w:t>1</w:t>
      </w:r>
      <w:r w:rsidRPr="00AE602B">
        <w:rPr>
          <w:rFonts w:ascii="Arial" w:eastAsia="Arial" w:hAnsi="Arial"/>
          <w:sz w:val="22"/>
          <w:szCs w:val="22"/>
          <w:u w:val="single"/>
        </w:rPr>
        <w:t xml:space="preserve">, </w:t>
      </w:r>
      <w:proofErr w:type="spellStart"/>
      <w:r w:rsidRPr="00AE602B">
        <w:rPr>
          <w:rFonts w:ascii="Arial" w:eastAsia="Arial" w:hAnsi="Arial"/>
          <w:sz w:val="22"/>
          <w:szCs w:val="22"/>
        </w:rPr>
        <w:t>Franciéli</w:t>
      </w:r>
      <w:proofErr w:type="spellEnd"/>
      <w:r w:rsidRPr="00AE602B">
        <w:rPr>
          <w:rFonts w:ascii="Arial" w:eastAsia="Arial" w:hAnsi="Arial"/>
          <w:sz w:val="22"/>
          <w:szCs w:val="22"/>
        </w:rPr>
        <w:t xml:space="preserve"> A. Molossi</w:t>
      </w:r>
      <w:r w:rsidRPr="00AE602B">
        <w:rPr>
          <w:rFonts w:ascii="Arial" w:eastAsia="Arial" w:hAnsi="Arial"/>
          <w:sz w:val="22"/>
          <w:szCs w:val="22"/>
          <w:vertAlign w:val="superscript"/>
        </w:rPr>
        <w:t>1</w:t>
      </w:r>
      <w:r w:rsidRPr="00AE602B">
        <w:rPr>
          <w:rFonts w:ascii="Arial" w:eastAsia="Arial" w:hAnsi="Arial"/>
          <w:sz w:val="22"/>
          <w:szCs w:val="22"/>
        </w:rPr>
        <w:t xml:space="preserve">, </w:t>
      </w:r>
      <w:proofErr w:type="spellStart"/>
      <w:r w:rsidRPr="00AE602B">
        <w:rPr>
          <w:rFonts w:ascii="Arial" w:eastAsia="Arial" w:hAnsi="Arial"/>
          <w:sz w:val="22"/>
          <w:szCs w:val="22"/>
        </w:rPr>
        <w:t>Kauane</w:t>
      </w:r>
      <w:proofErr w:type="spellEnd"/>
      <w:r w:rsidRPr="00AE602B">
        <w:rPr>
          <w:rFonts w:ascii="Arial" w:eastAsia="Arial" w:hAnsi="Arial"/>
          <w:sz w:val="22"/>
          <w:szCs w:val="22"/>
        </w:rPr>
        <w:t xml:space="preserve"> B. Peroza</w:t>
      </w:r>
      <w:r w:rsidRPr="00AE602B">
        <w:rPr>
          <w:rFonts w:ascii="Arial" w:eastAsia="Arial" w:hAnsi="Arial"/>
          <w:sz w:val="22"/>
          <w:szCs w:val="22"/>
          <w:vertAlign w:val="superscript"/>
        </w:rPr>
        <w:t>2</w:t>
      </w:r>
      <w:r w:rsidRPr="00AE602B">
        <w:rPr>
          <w:rFonts w:ascii="Arial" w:eastAsia="Arial" w:hAnsi="Arial"/>
          <w:sz w:val="22"/>
          <w:szCs w:val="22"/>
        </w:rPr>
        <w:t>, Geórgia C. Cousseau</w:t>
      </w:r>
      <w:r w:rsidRPr="00AE602B">
        <w:rPr>
          <w:rFonts w:ascii="Arial" w:eastAsia="Arial" w:hAnsi="Arial"/>
          <w:sz w:val="22"/>
          <w:szCs w:val="22"/>
          <w:vertAlign w:val="superscript"/>
        </w:rPr>
        <w:t>2</w:t>
      </w:r>
      <w:r w:rsidRPr="00AE602B">
        <w:rPr>
          <w:rFonts w:ascii="Arial" w:eastAsia="Arial" w:hAnsi="Arial"/>
          <w:sz w:val="22"/>
          <w:szCs w:val="22"/>
        </w:rPr>
        <w:t>, Patrícia A. P da Silva</w:t>
      </w:r>
      <w:r w:rsidRPr="00AE602B">
        <w:rPr>
          <w:rFonts w:ascii="Arial" w:eastAsia="Arial" w:hAnsi="Arial"/>
          <w:sz w:val="22"/>
          <w:szCs w:val="22"/>
          <w:vertAlign w:val="superscript"/>
        </w:rPr>
        <w:t>3</w:t>
      </w:r>
      <w:r w:rsidRPr="00AE602B">
        <w:rPr>
          <w:rFonts w:ascii="Arial" w:eastAsia="Arial" w:hAnsi="Arial"/>
          <w:sz w:val="22"/>
          <w:szCs w:val="22"/>
        </w:rPr>
        <w:t xml:space="preserve">, </w:t>
      </w:r>
      <w:r w:rsidRPr="00106F3A">
        <w:rPr>
          <w:rFonts w:ascii="Arial" w:eastAsia="Arial" w:hAnsi="Arial"/>
          <w:sz w:val="22"/>
          <w:szCs w:val="22"/>
        </w:rPr>
        <w:t>Aline Moretti</w:t>
      </w:r>
      <w:r w:rsidRPr="00106F3A">
        <w:rPr>
          <w:rFonts w:ascii="Arial" w:eastAsia="Arial" w:hAnsi="Arial"/>
          <w:sz w:val="22"/>
          <w:szCs w:val="22"/>
          <w:vertAlign w:val="superscript"/>
        </w:rPr>
        <w:t>4</w:t>
      </w:r>
      <w:r w:rsidRPr="00106F3A">
        <w:rPr>
          <w:rFonts w:ascii="Arial" w:eastAsia="Arial" w:hAnsi="Arial"/>
          <w:sz w:val="22"/>
          <w:szCs w:val="22"/>
        </w:rPr>
        <w:t>,</w:t>
      </w:r>
      <w:r w:rsidRPr="00AE602B">
        <w:rPr>
          <w:rFonts w:ascii="Arial" w:eastAsia="Arial" w:hAnsi="Arial"/>
          <w:sz w:val="22"/>
          <w:szCs w:val="22"/>
        </w:rPr>
        <w:t xml:space="preserve"> Lilian K. Girardini</w:t>
      </w:r>
      <w:r w:rsidRPr="00AE602B">
        <w:rPr>
          <w:rFonts w:ascii="Arial" w:eastAsia="Arial" w:hAnsi="Arial"/>
          <w:sz w:val="22"/>
          <w:szCs w:val="22"/>
          <w:vertAlign w:val="superscript"/>
        </w:rPr>
        <w:t>1</w:t>
      </w:r>
      <w:r w:rsidRPr="00AE602B">
        <w:rPr>
          <w:rFonts w:ascii="Arial" w:eastAsia="Arial" w:hAnsi="Arial"/>
          <w:sz w:val="22"/>
          <w:szCs w:val="22"/>
        </w:rPr>
        <w:t>, Simone Silveira</w:t>
      </w:r>
      <w:r w:rsidRPr="00AE602B">
        <w:rPr>
          <w:rFonts w:ascii="Arial" w:eastAsia="Arial" w:hAnsi="Arial"/>
          <w:sz w:val="22"/>
          <w:szCs w:val="22"/>
          <w:vertAlign w:val="superscript"/>
        </w:rPr>
        <w:t>1</w:t>
      </w:r>
    </w:p>
    <w:p w14:paraId="37338D33" w14:textId="77777777" w:rsidR="006E3145" w:rsidRPr="00AE602B" w:rsidRDefault="006E3145" w:rsidP="006E31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/>
          <w:sz w:val="20"/>
          <w:szCs w:val="20"/>
        </w:rPr>
      </w:pPr>
      <w:r w:rsidRPr="00AE602B">
        <w:rPr>
          <w:rFonts w:ascii="Arial" w:eastAsia="Arial" w:hAnsi="Arial"/>
          <w:sz w:val="20"/>
          <w:szCs w:val="20"/>
          <w:vertAlign w:val="superscript"/>
        </w:rPr>
        <w:t>1</w:t>
      </w:r>
      <w:r w:rsidRPr="00AE602B">
        <w:rPr>
          <w:rFonts w:ascii="Arial" w:eastAsia="Arial" w:hAnsi="Arial"/>
          <w:sz w:val="20"/>
          <w:szCs w:val="20"/>
        </w:rPr>
        <w:t>Docente do curso de Medicina Veterinária e do Programa de Pós-Graduação em Sanidade e Produção Animal da Universidade do Oeste de Santa Catarina - UNOESC, Xanxerê - SC</w:t>
      </w:r>
    </w:p>
    <w:p w14:paraId="4FBCA3E2" w14:textId="77777777" w:rsidR="006E3145" w:rsidRPr="00AE602B" w:rsidRDefault="006E3145" w:rsidP="006E31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/>
          <w:sz w:val="20"/>
          <w:szCs w:val="20"/>
        </w:rPr>
      </w:pPr>
      <w:r w:rsidRPr="00AE602B">
        <w:rPr>
          <w:rFonts w:ascii="Arial" w:eastAsia="Arial" w:hAnsi="Arial"/>
          <w:color w:val="000000"/>
          <w:sz w:val="20"/>
          <w:szCs w:val="20"/>
          <w:vertAlign w:val="superscript"/>
        </w:rPr>
        <w:t>2</w:t>
      </w:r>
      <w:r w:rsidRPr="00AE602B">
        <w:rPr>
          <w:rFonts w:ascii="Arial" w:eastAsia="Arial" w:hAnsi="Arial"/>
          <w:color w:val="000000"/>
          <w:sz w:val="20"/>
          <w:szCs w:val="20"/>
        </w:rPr>
        <w:t xml:space="preserve"> </w:t>
      </w:r>
      <w:r w:rsidRPr="00AE602B">
        <w:rPr>
          <w:rFonts w:ascii="Arial" w:eastAsia="Arial" w:hAnsi="Arial"/>
          <w:sz w:val="20"/>
          <w:szCs w:val="20"/>
        </w:rPr>
        <w:t>Discente do curso de Medicina Veterinária, UNOESC - Xanxerê - SC</w:t>
      </w:r>
    </w:p>
    <w:p w14:paraId="12E80473" w14:textId="77777777" w:rsidR="006E3145" w:rsidRPr="00AE602B" w:rsidRDefault="006E3145" w:rsidP="006E31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/>
          <w:sz w:val="20"/>
          <w:szCs w:val="20"/>
        </w:rPr>
      </w:pPr>
      <w:r w:rsidRPr="00AE602B">
        <w:rPr>
          <w:rFonts w:ascii="Arial" w:eastAsia="Arial" w:hAnsi="Arial"/>
          <w:sz w:val="22"/>
          <w:szCs w:val="22"/>
          <w:vertAlign w:val="superscript"/>
        </w:rPr>
        <w:t>3</w:t>
      </w:r>
      <w:r w:rsidRPr="00AE602B">
        <w:rPr>
          <w:rFonts w:ascii="Arial" w:eastAsia="Arial" w:hAnsi="Arial"/>
          <w:sz w:val="20"/>
          <w:szCs w:val="20"/>
        </w:rPr>
        <w:t xml:space="preserve">Mestranda do curso de mestrado em Sanidade e Produção Animal - UNOESC, Xanxerê, </w:t>
      </w:r>
    </w:p>
    <w:p w14:paraId="69FF601B" w14:textId="77777777" w:rsidR="006E3145" w:rsidRPr="006E3145" w:rsidRDefault="006E3145" w:rsidP="006E3145">
      <w:pPr>
        <w:jc w:val="center"/>
        <w:rPr>
          <w:rFonts w:ascii="Arial" w:eastAsia="Arial" w:hAnsi="Arial"/>
          <w:sz w:val="20"/>
          <w:szCs w:val="20"/>
          <w:lang w:val="en-US"/>
        </w:rPr>
      </w:pPr>
      <w:r w:rsidRPr="006E3145">
        <w:rPr>
          <w:rFonts w:ascii="Arial" w:eastAsia="Arial" w:hAnsi="Arial"/>
          <w:sz w:val="20"/>
          <w:szCs w:val="20"/>
          <w:vertAlign w:val="superscript"/>
          <w:lang w:val="en-US"/>
        </w:rPr>
        <w:t>4</w:t>
      </w:r>
      <w:r w:rsidRPr="006E3145">
        <w:rPr>
          <w:rFonts w:ascii="Arial" w:eastAsia="Arial" w:hAnsi="Arial"/>
          <w:sz w:val="20"/>
          <w:szCs w:val="20"/>
          <w:lang w:val="en-US"/>
        </w:rPr>
        <w:t xml:space="preserve"> </w:t>
      </w:r>
      <w:r w:rsidRPr="006E3145">
        <w:rPr>
          <w:rFonts w:ascii="Arial" w:eastAsia="Arial" w:hAnsi="Arial"/>
          <w:color w:val="202124"/>
          <w:sz w:val="20"/>
          <w:szCs w:val="20"/>
          <w:lang w:val="en-US"/>
        </w:rPr>
        <w:t xml:space="preserve">Merck Sharp &amp; Dohme (MSD) </w:t>
      </w:r>
      <w:proofErr w:type="spellStart"/>
      <w:r w:rsidRPr="006E3145">
        <w:rPr>
          <w:rFonts w:ascii="Arial" w:eastAsia="Arial" w:hAnsi="Arial"/>
          <w:sz w:val="20"/>
          <w:szCs w:val="20"/>
          <w:lang w:val="en-US"/>
        </w:rPr>
        <w:t>Saúde</w:t>
      </w:r>
      <w:proofErr w:type="spellEnd"/>
      <w:r w:rsidRPr="006E3145">
        <w:rPr>
          <w:rFonts w:ascii="Arial" w:eastAsia="Arial" w:hAnsi="Arial"/>
          <w:sz w:val="20"/>
          <w:szCs w:val="20"/>
          <w:lang w:val="en-US"/>
        </w:rPr>
        <w:t xml:space="preserve"> Animal, </w:t>
      </w:r>
      <w:proofErr w:type="spellStart"/>
      <w:r w:rsidRPr="006E3145">
        <w:rPr>
          <w:rFonts w:ascii="Arial" w:eastAsia="Arial" w:hAnsi="Arial"/>
          <w:sz w:val="20"/>
          <w:szCs w:val="20"/>
          <w:lang w:val="en-US"/>
        </w:rPr>
        <w:t>Chapecó</w:t>
      </w:r>
      <w:proofErr w:type="spellEnd"/>
      <w:r w:rsidRPr="006E3145">
        <w:rPr>
          <w:rFonts w:ascii="Arial" w:eastAsia="Arial" w:hAnsi="Arial"/>
          <w:sz w:val="20"/>
          <w:szCs w:val="20"/>
          <w:lang w:val="en-US"/>
        </w:rPr>
        <w:t xml:space="preserve"> - SC</w:t>
      </w:r>
    </w:p>
    <w:p w14:paraId="0516CBB9" w14:textId="77777777" w:rsidR="006E3145" w:rsidRPr="00AE602B" w:rsidRDefault="006E3145" w:rsidP="006E31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/>
          <w:b/>
          <w:sz w:val="20"/>
          <w:szCs w:val="20"/>
        </w:rPr>
      </w:pPr>
      <w:r w:rsidRPr="00AE602B">
        <w:rPr>
          <w:rFonts w:ascii="Arial" w:eastAsia="Arial" w:hAnsi="Arial"/>
          <w:color w:val="000000"/>
          <w:sz w:val="20"/>
          <w:szCs w:val="20"/>
        </w:rPr>
        <w:t>E-mail:</w:t>
      </w:r>
      <w:r w:rsidRPr="00AE602B">
        <w:rPr>
          <w:rFonts w:ascii="Arial" w:eastAsia="Arial" w:hAnsi="Arial"/>
          <w:color w:val="FF0000"/>
          <w:sz w:val="20"/>
          <w:szCs w:val="20"/>
        </w:rPr>
        <w:t xml:space="preserve"> </w:t>
      </w:r>
      <w:r w:rsidRPr="00AE602B">
        <w:rPr>
          <w:rFonts w:ascii="Arial" w:eastAsia="Arial" w:hAnsi="Arial"/>
          <w:sz w:val="20"/>
          <w:szCs w:val="20"/>
        </w:rPr>
        <w:t xml:space="preserve">claudia.balzan@unoesc.edu.br </w:t>
      </w:r>
    </w:p>
    <w:p w14:paraId="0A5157C8" w14:textId="77777777" w:rsidR="009F48AE" w:rsidRDefault="009F48AE">
      <w:pPr>
        <w:pStyle w:val="LO-normal"/>
        <w:jc w:val="both"/>
        <w:rPr>
          <w:rFonts w:ascii="Arial" w:eastAsia="Arial" w:hAnsi="Arial"/>
          <w:color w:val="000000"/>
          <w:sz w:val="22"/>
          <w:szCs w:val="22"/>
        </w:rPr>
      </w:pPr>
    </w:p>
    <w:p w14:paraId="0A5157C9" w14:textId="2159B415" w:rsidR="009F48AE" w:rsidRDefault="00000000">
      <w:pPr>
        <w:pStyle w:val="LO-normal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color w:val="000000"/>
          <w:sz w:val="22"/>
          <w:szCs w:val="22"/>
        </w:rPr>
        <w:t>Contribuição para a sociedade: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 xml:space="preserve">O presente estudo relata um caso de </w:t>
      </w:r>
      <w:proofErr w:type="spellStart"/>
      <w:r>
        <w:rPr>
          <w:rFonts w:ascii="Arial" w:eastAsia="Arial" w:hAnsi="Arial"/>
          <w:sz w:val="22"/>
          <w:szCs w:val="22"/>
        </w:rPr>
        <w:t>colibacilose</w:t>
      </w:r>
      <w:proofErr w:type="spellEnd"/>
      <w:r>
        <w:rPr>
          <w:rFonts w:ascii="Arial" w:eastAsia="Arial" w:hAnsi="Arial"/>
          <w:sz w:val="22"/>
          <w:szCs w:val="22"/>
        </w:rPr>
        <w:t xml:space="preserve"> e salmonelose septicêmica em uma fêmea bovina de 2 dias de idade proveniente de uma propriedade leiteira localizada no Oeste catarinense. Os isolados do presente trabalho foram resistentes </w:t>
      </w:r>
      <w:r w:rsidR="00CA6070">
        <w:rPr>
          <w:rFonts w:ascii="Arial" w:eastAsia="Arial" w:hAnsi="Arial"/>
          <w:sz w:val="22"/>
          <w:szCs w:val="22"/>
        </w:rPr>
        <w:t>a 8</w:t>
      </w:r>
      <w:r>
        <w:rPr>
          <w:rFonts w:ascii="Arial" w:eastAsia="Arial" w:hAnsi="Arial"/>
          <w:sz w:val="22"/>
          <w:szCs w:val="22"/>
        </w:rPr>
        <w:t xml:space="preserve"> antimicrobianos testados. As maiores taxas de resistência foram observadas para os beta-lactâmicos, aminoglicosídeos, </w:t>
      </w:r>
      <w:proofErr w:type="spellStart"/>
      <w:r>
        <w:rPr>
          <w:rFonts w:ascii="Arial" w:eastAsia="Arial" w:hAnsi="Arial"/>
          <w:sz w:val="22"/>
          <w:szCs w:val="22"/>
        </w:rPr>
        <w:t>macrolídeos</w:t>
      </w:r>
      <w:proofErr w:type="spellEnd"/>
      <w:r>
        <w:rPr>
          <w:rFonts w:ascii="Arial" w:eastAsia="Arial" w:hAnsi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/>
          <w:sz w:val="22"/>
          <w:szCs w:val="22"/>
        </w:rPr>
        <w:t>fluoroquinolonas</w:t>
      </w:r>
      <w:proofErr w:type="spellEnd"/>
      <w:r>
        <w:rPr>
          <w:rFonts w:ascii="Arial" w:eastAsia="Arial" w:hAnsi="Arial"/>
          <w:sz w:val="22"/>
          <w:szCs w:val="22"/>
        </w:rPr>
        <w:t xml:space="preserve"> e tetraciclinas, sendo assim os 4 isolados classificaram-se como fenótipo multidroga resistente. A diarreia neonatal bovina é uma enfermidade multifatorial, resultante de complexa interação entre agentes patogênicos, hospedeiro e ambiente, além de falhas no manejo. </w:t>
      </w:r>
      <w:r>
        <w:rPr>
          <w:rFonts w:ascii="Arial" w:eastAsia="Arial" w:hAnsi="Arial"/>
          <w:color w:val="00000A"/>
          <w:sz w:val="22"/>
          <w:szCs w:val="22"/>
        </w:rPr>
        <w:t xml:space="preserve">Dado o potencial zoonótico dos agentes, é importante a realização do diagnóstico definitivo a fim de que medidas de controle e prevenção sejam implantadas. </w:t>
      </w:r>
      <w:r>
        <w:rPr>
          <w:rFonts w:ascii="Arial" w:eastAsia="Arial" w:hAnsi="Arial"/>
          <w:sz w:val="22"/>
          <w:szCs w:val="22"/>
        </w:rPr>
        <w:t>A resistência bacteriana frente aos antimicrobianos é considerada um problema de saúde única, sendo assim, o uso racional e o monitoramento da resistência de cepas bacterianas é uma medida importante também na bovinocultura leiteira.</w:t>
      </w:r>
    </w:p>
    <w:p w14:paraId="0A5157CA" w14:textId="77777777" w:rsidR="009F48AE" w:rsidRDefault="009F48AE">
      <w:pPr>
        <w:pStyle w:val="LO-normal"/>
        <w:shd w:val="clear" w:color="auto" w:fill="FFFFFF"/>
        <w:jc w:val="both"/>
        <w:rPr>
          <w:rFonts w:ascii="Arial" w:eastAsia="Arial" w:hAnsi="Arial"/>
          <w:sz w:val="22"/>
          <w:szCs w:val="22"/>
        </w:rPr>
      </w:pPr>
    </w:p>
    <w:p w14:paraId="0A5157CB" w14:textId="77777777" w:rsidR="009F48AE" w:rsidRDefault="00000000">
      <w:pPr>
        <w:pStyle w:val="LO-normal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color w:val="000000"/>
          <w:sz w:val="22"/>
          <w:szCs w:val="22"/>
        </w:rPr>
        <w:t>Palavras-chave</w:t>
      </w:r>
      <w:r>
        <w:rPr>
          <w:rFonts w:ascii="Arial" w:eastAsia="Arial" w:hAnsi="Arial"/>
          <w:color w:val="000000"/>
          <w:sz w:val="22"/>
          <w:szCs w:val="22"/>
        </w:rPr>
        <w:t xml:space="preserve">: </w:t>
      </w:r>
      <w:r>
        <w:rPr>
          <w:rFonts w:ascii="Arial" w:eastAsia="Arial" w:hAnsi="Arial"/>
          <w:sz w:val="22"/>
          <w:szCs w:val="22"/>
        </w:rPr>
        <w:t xml:space="preserve">Resistência antimicrobiana, saúde única, </w:t>
      </w:r>
      <w:r>
        <w:rPr>
          <w:rFonts w:ascii="Arial" w:eastAsia="Arial" w:hAnsi="Arial"/>
          <w:i/>
          <w:sz w:val="22"/>
          <w:szCs w:val="22"/>
        </w:rPr>
        <w:t>E. coli</w:t>
      </w:r>
      <w:r>
        <w:rPr>
          <w:rFonts w:ascii="Arial" w:eastAsia="Arial" w:hAnsi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/>
          <w:sz w:val="22"/>
          <w:szCs w:val="22"/>
        </w:rPr>
        <w:t>enterotoxigênica</w:t>
      </w:r>
      <w:proofErr w:type="spellEnd"/>
      <w:r>
        <w:rPr>
          <w:rFonts w:ascii="Arial" w:eastAsia="Arial" w:hAnsi="Arial"/>
          <w:sz w:val="22"/>
          <w:szCs w:val="22"/>
        </w:rPr>
        <w:t>, diarreia neonatal</w:t>
      </w:r>
    </w:p>
    <w:p w14:paraId="0A5157CC" w14:textId="77777777" w:rsidR="009F48AE" w:rsidRDefault="009F48AE">
      <w:pPr>
        <w:pStyle w:val="LO-normal"/>
        <w:jc w:val="both"/>
        <w:rPr>
          <w:rFonts w:ascii="Arial" w:eastAsia="Arial" w:hAnsi="Arial"/>
          <w:color w:val="000000"/>
          <w:sz w:val="22"/>
          <w:szCs w:val="22"/>
        </w:rPr>
      </w:pPr>
    </w:p>
    <w:p w14:paraId="0A5157CD" w14:textId="77777777" w:rsidR="009F48AE" w:rsidRDefault="00000000">
      <w:pPr>
        <w:pStyle w:val="LO-normal"/>
        <w:jc w:val="both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b/>
          <w:color w:val="000000"/>
          <w:sz w:val="22"/>
          <w:szCs w:val="22"/>
        </w:rPr>
        <w:t xml:space="preserve">Descrição do caso: 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</w:p>
    <w:p w14:paraId="0A5157CE" w14:textId="460F986C" w:rsidR="009F48AE" w:rsidRDefault="00000000">
      <w:pPr>
        <w:pStyle w:val="LO-normal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Descreve-se um caso ocorrido em 2023, em uma propriedade localizada no Oeste Catarinense, a qual trabalha com bovinos da raça Holandesa criados em sistema intensivo, com alimentação a base de silagem e ração. Uma f</w:t>
      </w:r>
      <w:r>
        <w:rPr>
          <w:rFonts w:ascii="Arial" w:eastAsia="Arial" w:hAnsi="Arial"/>
          <w:color w:val="000000"/>
          <w:sz w:val="22"/>
          <w:szCs w:val="22"/>
        </w:rPr>
        <w:t xml:space="preserve">êmea bovina com 2 dias de idade, manifestou quadro clínico de </w:t>
      </w:r>
      <w:r>
        <w:rPr>
          <w:rFonts w:ascii="Arial" w:eastAsia="Arial" w:hAnsi="Arial"/>
          <w:sz w:val="22"/>
          <w:szCs w:val="22"/>
        </w:rPr>
        <w:t>diarreia e desidratação, evoluindo à óbito rapidamente, apesar da intervenção terapêutica. Segundo informações do proprietário, nos últimos 40 dias houve mortalidade de 5 terneiras de faixa etária e sinais clínicos semelhantes. O animal foi submetido à necropsia e fragmentos dos órgãos foram coletados em formalina 10%, processados rotineiramente para avaliação histopatológica, corados com a técnica de hematoxilina e eosina e avaliados em microscópio óptico. F</w:t>
      </w:r>
      <w:r>
        <w:rPr>
          <w:rFonts w:ascii="Arial" w:eastAsia="Arial" w:hAnsi="Arial"/>
          <w:color w:val="000000"/>
          <w:sz w:val="22"/>
          <w:szCs w:val="22"/>
        </w:rPr>
        <w:t>ragmentos de intestino</w:t>
      </w:r>
      <w:r>
        <w:rPr>
          <w:rFonts w:ascii="Arial" w:eastAsia="Arial" w:hAnsi="Arial"/>
          <w:sz w:val="22"/>
          <w:szCs w:val="22"/>
        </w:rPr>
        <w:t xml:space="preserve"> delgado, </w:t>
      </w:r>
      <w:r>
        <w:rPr>
          <w:rFonts w:ascii="Arial" w:eastAsia="Arial" w:hAnsi="Arial"/>
          <w:color w:val="000000"/>
          <w:sz w:val="22"/>
          <w:szCs w:val="22"/>
        </w:rPr>
        <w:t>fígado, bile</w:t>
      </w:r>
      <w:r>
        <w:rPr>
          <w:rFonts w:ascii="Arial" w:eastAsia="Arial" w:hAnsi="Arial"/>
          <w:sz w:val="22"/>
          <w:szCs w:val="22"/>
        </w:rPr>
        <w:t xml:space="preserve"> e</w:t>
      </w:r>
      <w:r>
        <w:rPr>
          <w:rFonts w:ascii="Arial" w:eastAsia="Arial" w:hAnsi="Arial"/>
          <w:color w:val="000000"/>
          <w:sz w:val="22"/>
          <w:szCs w:val="22"/>
        </w:rPr>
        <w:t xml:space="preserve"> pulmão fo</w:t>
      </w:r>
      <w:r>
        <w:rPr>
          <w:rFonts w:ascii="Arial" w:eastAsia="Arial" w:hAnsi="Arial"/>
          <w:sz w:val="22"/>
          <w:szCs w:val="22"/>
        </w:rPr>
        <w:t>ram</w:t>
      </w:r>
      <w:r>
        <w:rPr>
          <w:rFonts w:ascii="Arial" w:eastAsia="Arial" w:hAnsi="Arial"/>
          <w:color w:val="000000"/>
          <w:sz w:val="22"/>
          <w:szCs w:val="22"/>
        </w:rPr>
        <w:t xml:space="preserve"> coletados e </w:t>
      </w:r>
      <w:r>
        <w:rPr>
          <w:rFonts w:ascii="Arial" w:eastAsia="Arial" w:hAnsi="Arial"/>
          <w:sz w:val="22"/>
          <w:szCs w:val="22"/>
        </w:rPr>
        <w:t>submetidos à</w:t>
      </w:r>
      <w:r>
        <w:rPr>
          <w:rFonts w:ascii="Arial" w:eastAsia="Arial" w:hAnsi="Arial"/>
          <w:color w:val="000000"/>
          <w:sz w:val="22"/>
          <w:szCs w:val="22"/>
        </w:rPr>
        <w:t xml:space="preserve"> realização de cultura microbiológica em aerobiose nos meios ágar sangue ovino 5% e ágar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MacConkey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, além de cultura específica para isolamento de </w:t>
      </w:r>
      <w:r>
        <w:rPr>
          <w:rFonts w:ascii="Arial" w:eastAsia="Arial" w:hAnsi="Arial"/>
          <w:i/>
          <w:color w:val="000000"/>
          <w:sz w:val="22"/>
          <w:szCs w:val="22"/>
        </w:rPr>
        <w:t>Salmonella</w:t>
      </w:r>
      <w:r>
        <w:rPr>
          <w:rFonts w:ascii="Arial" w:eastAsia="Arial" w:hAnsi="Arial"/>
          <w:color w:val="000000"/>
          <w:sz w:val="22"/>
          <w:szCs w:val="22"/>
        </w:rPr>
        <w:t xml:space="preserve"> spp. com enriquecimento e posterior isolamento em meios seletivos (ágar Verde Brilhante – VB e ágar Xilose Lisina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Desoxicolato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 – XLD). Os cultivos foram realizados a 37°C por um período de 24 a 48h e as colônias obtidas foram identificadas através das características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mor</w:t>
      </w:r>
      <w:r>
        <w:rPr>
          <w:rFonts w:ascii="Arial" w:eastAsia="Arial" w:hAnsi="Arial"/>
          <w:sz w:val="22"/>
          <w:szCs w:val="22"/>
        </w:rPr>
        <w:t>fo-</w:t>
      </w:r>
      <w:r>
        <w:rPr>
          <w:rFonts w:ascii="Arial" w:eastAsia="Arial" w:hAnsi="Arial"/>
          <w:color w:val="000000"/>
          <w:sz w:val="22"/>
          <w:szCs w:val="22"/>
        </w:rPr>
        <w:t>tintoriais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 e testes bioquímicos específicos de acordo com </w:t>
      </w:r>
      <w:r>
        <w:rPr>
          <w:rFonts w:ascii="Arial" w:eastAsia="Arial" w:hAnsi="Arial"/>
          <w:sz w:val="22"/>
          <w:szCs w:val="22"/>
        </w:rPr>
        <w:t>MARKEY</w:t>
      </w:r>
      <w:r>
        <w:rPr>
          <w:rFonts w:ascii="Arial" w:eastAsia="Arial" w:hAnsi="Arial"/>
          <w:color w:val="000000"/>
          <w:sz w:val="22"/>
          <w:szCs w:val="22"/>
        </w:rPr>
        <w:t xml:space="preserve"> et al. (2013). Colônias compatíveis com </w:t>
      </w:r>
      <w:r>
        <w:rPr>
          <w:rFonts w:ascii="Arial" w:eastAsia="Arial" w:hAnsi="Arial"/>
          <w:i/>
          <w:color w:val="000000"/>
          <w:sz w:val="22"/>
          <w:szCs w:val="22"/>
        </w:rPr>
        <w:t>Salmonell</w:t>
      </w:r>
      <w:r>
        <w:rPr>
          <w:rFonts w:ascii="Arial" w:eastAsia="Arial" w:hAnsi="Arial"/>
          <w:color w:val="000000"/>
          <w:sz w:val="22"/>
          <w:szCs w:val="22"/>
        </w:rPr>
        <w:t>a</w:t>
      </w:r>
      <w:r>
        <w:rPr>
          <w:rFonts w:ascii="Arial" w:eastAsia="Arial" w:hAnsi="Arial"/>
          <w:sz w:val="22"/>
          <w:szCs w:val="22"/>
        </w:rPr>
        <w:t xml:space="preserve"> spp. foram submetidas a prova de </w:t>
      </w:r>
      <w:proofErr w:type="spellStart"/>
      <w:r>
        <w:rPr>
          <w:rFonts w:ascii="Arial" w:eastAsia="Arial" w:hAnsi="Arial"/>
          <w:sz w:val="22"/>
          <w:szCs w:val="22"/>
        </w:rPr>
        <w:t>soroaglutinação</w:t>
      </w:r>
      <w:proofErr w:type="spellEnd"/>
      <w:r>
        <w:rPr>
          <w:rFonts w:ascii="Arial" w:eastAsia="Arial" w:hAnsi="Arial"/>
          <w:sz w:val="22"/>
          <w:szCs w:val="22"/>
        </w:rPr>
        <w:t xml:space="preserve"> em lâmina, sendo empregado o </w:t>
      </w:r>
      <w:proofErr w:type="spellStart"/>
      <w:r>
        <w:rPr>
          <w:rFonts w:ascii="Arial" w:eastAsia="Arial" w:hAnsi="Arial"/>
          <w:sz w:val="22"/>
          <w:szCs w:val="22"/>
        </w:rPr>
        <w:t>anti-soro</w:t>
      </w:r>
      <w:proofErr w:type="spellEnd"/>
      <w:r>
        <w:rPr>
          <w:rFonts w:ascii="Arial" w:eastAsia="Arial" w:hAnsi="Arial"/>
          <w:sz w:val="22"/>
          <w:szCs w:val="22"/>
        </w:rPr>
        <w:t xml:space="preserve"> polivalente flagelar somático (</w:t>
      </w:r>
      <w:proofErr w:type="spellStart"/>
      <w:r>
        <w:rPr>
          <w:rFonts w:ascii="Arial" w:eastAsia="Arial" w:hAnsi="Arial"/>
          <w:sz w:val="22"/>
          <w:szCs w:val="22"/>
        </w:rPr>
        <w:t>Probac</w:t>
      </w:r>
      <w:proofErr w:type="spellEnd"/>
      <w:r>
        <w:rPr>
          <w:rFonts w:ascii="Arial" w:eastAsia="Arial" w:hAnsi="Arial"/>
          <w:sz w:val="22"/>
          <w:szCs w:val="22"/>
        </w:rPr>
        <w:t xml:space="preserve">, São Paulo). </w:t>
      </w:r>
      <w:r>
        <w:rPr>
          <w:rFonts w:ascii="Arial" w:eastAsia="Arial" w:hAnsi="Arial"/>
          <w:color w:val="000000"/>
          <w:sz w:val="22"/>
          <w:szCs w:val="22"/>
        </w:rPr>
        <w:t xml:space="preserve">Colônias caracterizadas como </w:t>
      </w:r>
      <w:r>
        <w:rPr>
          <w:rFonts w:ascii="Arial" w:eastAsia="Arial" w:hAnsi="Arial"/>
          <w:i/>
          <w:color w:val="000000"/>
          <w:sz w:val="22"/>
          <w:szCs w:val="22"/>
        </w:rPr>
        <w:t>E. coli</w:t>
      </w:r>
      <w:r>
        <w:rPr>
          <w:rFonts w:ascii="Arial" w:eastAsia="Arial" w:hAnsi="Arial"/>
          <w:color w:val="000000"/>
          <w:sz w:val="22"/>
          <w:szCs w:val="22"/>
        </w:rPr>
        <w:t xml:space="preserve"> foram submetidas a extração de DNA por kit comercial e analisadas por PCR convencional para detecção de </w:t>
      </w:r>
      <w:r>
        <w:rPr>
          <w:rFonts w:ascii="Arial" w:eastAsia="Arial" w:hAnsi="Arial"/>
          <w:sz w:val="22"/>
          <w:szCs w:val="22"/>
        </w:rPr>
        <w:t>fímbrias</w:t>
      </w:r>
      <w:r>
        <w:rPr>
          <w:rFonts w:ascii="Arial" w:eastAsia="Arial" w:hAnsi="Arial"/>
          <w:color w:val="000000"/>
          <w:sz w:val="22"/>
          <w:szCs w:val="22"/>
        </w:rPr>
        <w:t xml:space="preserve"> (F4, F5, F6, F41) e toxinas (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Sta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Stb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Stx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Lt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>)</w:t>
      </w:r>
      <w:r>
        <w:rPr>
          <w:rFonts w:ascii="Arial" w:eastAsia="Arial" w:hAnsi="Arial"/>
          <w:sz w:val="22"/>
          <w:szCs w:val="22"/>
        </w:rPr>
        <w:t xml:space="preserve"> (COSTA et al., 2009; GIRARDINI et al., 2012)</w:t>
      </w:r>
      <w:r>
        <w:rPr>
          <w:rFonts w:ascii="Arial" w:eastAsia="Arial" w:hAnsi="Arial"/>
          <w:color w:val="000000"/>
          <w:sz w:val="22"/>
          <w:szCs w:val="22"/>
        </w:rPr>
        <w:t xml:space="preserve">. O teste de </w:t>
      </w:r>
      <w:r>
        <w:rPr>
          <w:rFonts w:ascii="Arial" w:eastAsia="Arial" w:hAnsi="Arial"/>
          <w:sz w:val="22"/>
          <w:szCs w:val="22"/>
        </w:rPr>
        <w:t>suscetibilidade</w:t>
      </w:r>
      <w:r>
        <w:rPr>
          <w:rFonts w:ascii="Arial" w:eastAsia="Arial" w:hAnsi="Arial"/>
          <w:color w:val="000000"/>
          <w:sz w:val="22"/>
          <w:szCs w:val="22"/>
        </w:rPr>
        <w:t xml:space="preserve"> aos antimicrobianos (TSA) foi realizado seguindo a metodologia de disco-</w:t>
      </w:r>
      <w:r>
        <w:rPr>
          <w:rFonts w:ascii="Arial" w:eastAsia="Arial" w:hAnsi="Arial"/>
          <w:color w:val="000000"/>
          <w:sz w:val="22"/>
          <w:szCs w:val="22"/>
        </w:rPr>
        <w:lastRenderedPageBreak/>
        <w:t xml:space="preserve">difusão em ágar e recomendações do Clinical and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Laboratory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 Standards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Institute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 (CLSI, 2018). Avaliou-se 12 antimicrobianos diferentes, sendo eles: beta-lactâmicos - Ampicilina (10 mcg),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Amoxicilina+Ácido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 Clavulânico (20/10 mcg) e Cefalexina (30 mcg); aminoglicosídeos – Gentamicina (10 mcg) e Neomicina (30 mcg);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macrolídeos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 – Azitromicina (15mcg);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quinolonas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 – ácido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nalidíxico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 (30 mcg) e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norfloxacina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 (10 mcg);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fluoroquinolonas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 -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Enrofloxacina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 (5 mcg) e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Marbofloxacina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 (5 mcg); </w:t>
      </w:r>
      <w:proofErr w:type="spellStart"/>
      <w:r>
        <w:rPr>
          <w:rFonts w:ascii="Arial" w:eastAsia="Arial" w:hAnsi="Arial"/>
          <w:sz w:val="22"/>
          <w:szCs w:val="22"/>
        </w:rPr>
        <w:t>nitroimidazol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 – Metronidazol (10 mcg); Tetraciclinas - Tetraciclina (30mcg). As placas foram incubadas a 37°C por 18 a 24h e </w:t>
      </w:r>
      <w:r>
        <w:rPr>
          <w:rFonts w:ascii="Arial" w:eastAsia="Arial" w:hAnsi="Arial"/>
          <w:sz w:val="22"/>
          <w:szCs w:val="22"/>
        </w:rPr>
        <w:t xml:space="preserve">após </w:t>
      </w:r>
      <w:r>
        <w:rPr>
          <w:rFonts w:ascii="Arial" w:eastAsia="Arial" w:hAnsi="Arial"/>
          <w:color w:val="000000"/>
          <w:sz w:val="22"/>
          <w:szCs w:val="22"/>
        </w:rPr>
        <w:t>mensur</w:t>
      </w:r>
      <w:r>
        <w:rPr>
          <w:rFonts w:ascii="Arial" w:eastAsia="Arial" w:hAnsi="Arial"/>
          <w:sz w:val="22"/>
          <w:szCs w:val="22"/>
        </w:rPr>
        <w:t xml:space="preserve">ou-se </w:t>
      </w:r>
      <w:r>
        <w:rPr>
          <w:rFonts w:ascii="Arial" w:eastAsia="Arial" w:hAnsi="Arial"/>
          <w:color w:val="000000"/>
          <w:sz w:val="22"/>
          <w:szCs w:val="22"/>
        </w:rPr>
        <w:t xml:space="preserve">o diâmetro dos halos </w:t>
      </w:r>
      <w:r>
        <w:rPr>
          <w:rFonts w:ascii="Arial" w:eastAsia="Arial" w:hAnsi="Arial"/>
          <w:sz w:val="22"/>
          <w:szCs w:val="22"/>
        </w:rPr>
        <w:t>de inibição, sendo os isolados classificados como sensíveis, intermediários ou resistentes (CLSI, 2018).</w:t>
      </w:r>
    </w:p>
    <w:p w14:paraId="0A5157CF" w14:textId="77777777" w:rsidR="009F48AE" w:rsidRDefault="009F48AE">
      <w:pPr>
        <w:pStyle w:val="LO-normal"/>
        <w:jc w:val="both"/>
        <w:rPr>
          <w:rFonts w:ascii="Arial" w:eastAsia="Arial" w:hAnsi="Arial"/>
          <w:sz w:val="22"/>
          <w:szCs w:val="22"/>
        </w:rPr>
      </w:pPr>
    </w:p>
    <w:p w14:paraId="0A5157D0" w14:textId="77777777" w:rsidR="009F48AE" w:rsidRDefault="00000000">
      <w:pPr>
        <w:pStyle w:val="LO-normal"/>
        <w:jc w:val="both"/>
        <w:rPr>
          <w:rFonts w:ascii="Arial" w:eastAsia="Arial" w:hAnsi="Arial"/>
          <w:b/>
          <w:sz w:val="22"/>
          <w:szCs w:val="22"/>
        </w:rPr>
      </w:pPr>
      <w:r>
        <w:rPr>
          <w:rFonts w:ascii="Arial" w:eastAsia="Arial" w:hAnsi="Arial"/>
          <w:b/>
          <w:color w:val="000000"/>
          <w:sz w:val="22"/>
          <w:szCs w:val="22"/>
        </w:rPr>
        <w:t xml:space="preserve">Resultados: </w:t>
      </w:r>
    </w:p>
    <w:p w14:paraId="0A5157D1" w14:textId="77777777" w:rsidR="009F48AE" w:rsidRDefault="00000000">
      <w:pPr>
        <w:pStyle w:val="LO-normal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Os principais achados macroscópicos foram mucosas conjuntivas e oral congestas, acentuada enoftalmia e moderada quantidade de fezes pastosas amareladas aderidas a região perianal. No intestino delgado, especialmente em íleo, notaram-se áreas multifocais avermelhadas na serosa e na mucosa e acentuada quantidade de conteúdo líquido amarelado na luz do órgão. Os pulmões estavam edemaciados e com áreas multifocais de coloração vermelho escuro. Ainda, havia discreta hepatomegalia. Os achados microscópicos do intestino delgado, consistiram de áreas multifocais de necrose e hemorragia de superfície apical de vilosidades, que por vezes atinge toda a mucosa, especialmente no íleo, com acentuada quantidade de bactérias cocobacilares livres na luz do órgão, entre os restos necróticos e aderidas ao epitélio ciliar das vilosidades. O linfonodo mesentérico apresentou áreas multifocais de discreta necrose de coagulação. Nos pulmões, havia pneumonia intersticial com infiltrado inflamatório de macrófagos e linfócitos e em menor quantidade, neutrófilos. No fígado notou-se áreas multifocais aleatórias de discreto infiltrado inflamatório de linfócitos e macrófagos. </w:t>
      </w:r>
    </w:p>
    <w:p w14:paraId="0A5157D2" w14:textId="77777777" w:rsidR="009F48AE" w:rsidRDefault="009F48AE">
      <w:pPr>
        <w:pStyle w:val="LO-normal"/>
        <w:jc w:val="both"/>
        <w:rPr>
          <w:rFonts w:ascii="Arial" w:eastAsia="Arial" w:hAnsi="Arial"/>
          <w:sz w:val="22"/>
          <w:szCs w:val="22"/>
        </w:rPr>
      </w:pPr>
    </w:p>
    <w:p w14:paraId="0A5157D3" w14:textId="77777777" w:rsidR="009F48AE" w:rsidRDefault="00000000">
      <w:pPr>
        <w:pStyle w:val="LO-normal"/>
        <w:jc w:val="both"/>
        <w:rPr>
          <w:rFonts w:ascii="Arial" w:eastAsia="Arial" w:hAnsi="Arial"/>
          <w:sz w:val="22"/>
          <w:szCs w:val="22"/>
        </w:rPr>
      </w:pPr>
      <w:r>
        <w:rPr>
          <w:noProof/>
        </w:rPr>
        <w:drawing>
          <wp:inline distT="0" distB="0" distL="0" distR="0" wp14:anchorId="0A5157EB" wp14:editId="0A5157EC">
            <wp:extent cx="5759450" cy="2159000"/>
            <wp:effectExtent l="0" t="0" r="0" b="0"/>
            <wp:docPr id="2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157D4" w14:textId="77777777" w:rsidR="009F48AE" w:rsidRDefault="00000000">
      <w:pPr>
        <w:pStyle w:val="LO-normal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Figura 1. Bovina, 2 dias de vida com </w:t>
      </w:r>
      <w:proofErr w:type="spellStart"/>
      <w:r>
        <w:rPr>
          <w:rFonts w:ascii="Arial" w:eastAsia="Arial" w:hAnsi="Arial"/>
          <w:sz w:val="22"/>
          <w:szCs w:val="22"/>
        </w:rPr>
        <w:t>colibacilose</w:t>
      </w:r>
      <w:proofErr w:type="spellEnd"/>
      <w:r>
        <w:rPr>
          <w:rFonts w:ascii="Arial" w:eastAsia="Arial" w:hAnsi="Arial"/>
          <w:sz w:val="22"/>
          <w:szCs w:val="22"/>
        </w:rPr>
        <w:t xml:space="preserve"> e salmonelose septicêmica. A. Pulmão com áreas vermelhas escuras. B. Íleo com áreas multifocais vermelhas na serosa. </w:t>
      </w:r>
      <w:proofErr w:type="spellStart"/>
      <w:r>
        <w:rPr>
          <w:rFonts w:ascii="Arial" w:eastAsia="Arial" w:hAnsi="Arial"/>
          <w:sz w:val="22"/>
          <w:szCs w:val="22"/>
        </w:rPr>
        <w:t>Inset</w:t>
      </w:r>
      <w:proofErr w:type="spellEnd"/>
      <w:r>
        <w:rPr>
          <w:rFonts w:ascii="Arial" w:eastAsia="Arial" w:hAnsi="Arial"/>
          <w:sz w:val="22"/>
          <w:szCs w:val="22"/>
        </w:rPr>
        <w:t>: áreas multifocais vermelhas escuras na serosa do intestino delgado e conteúdo líquido amarelo.</w:t>
      </w:r>
    </w:p>
    <w:p w14:paraId="0A5157D5" w14:textId="77777777" w:rsidR="009F48AE" w:rsidRDefault="009F48AE">
      <w:pPr>
        <w:pStyle w:val="LO-normal"/>
        <w:jc w:val="both"/>
        <w:rPr>
          <w:rFonts w:ascii="Arial" w:eastAsia="Arial" w:hAnsi="Arial"/>
          <w:sz w:val="22"/>
          <w:szCs w:val="22"/>
        </w:rPr>
      </w:pPr>
    </w:p>
    <w:p w14:paraId="0A5157D6" w14:textId="77777777" w:rsidR="009F48AE" w:rsidRDefault="00000000">
      <w:pPr>
        <w:pStyle w:val="LO-normal"/>
        <w:ind w:firstLine="72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O cultivo microbiológico foi positivo para </w:t>
      </w:r>
      <w:r>
        <w:rPr>
          <w:rFonts w:ascii="Arial" w:eastAsia="Arial" w:hAnsi="Arial"/>
          <w:i/>
          <w:sz w:val="22"/>
          <w:szCs w:val="22"/>
        </w:rPr>
        <w:t>E. coli</w:t>
      </w:r>
      <w:r>
        <w:rPr>
          <w:rFonts w:ascii="Arial" w:eastAsia="Arial" w:hAnsi="Arial"/>
          <w:sz w:val="22"/>
          <w:szCs w:val="22"/>
        </w:rPr>
        <w:t xml:space="preserve"> e </w:t>
      </w:r>
      <w:r>
        <w:rPr>
          <w:rFonts w:ascii="Arial" w:eastAsia="Arial" w:hAnsi="Arial"/>
          <w:i/>
          <w:sz w:val="22"/>
          <w:szCs w:val="22"/>
        </w:rPr>
        <w:t>Salmonella</w:t>
      </w:r>
      <w:r>
        <w:rPr>
          <w:rFonts w:ascii="Arial" w:eastAsia="Arial" w:hAnsi="Arial"/>
          <w:sz w:val="22"/>
          <w:szCs w:val="22"/>
        </w:rPr>
        <w:t xml:space="preserve"> spp., tanto na amostra de intestino como no </w:t>
      </w:r>
      <w:r>
        <w:rPr>
          <w:rFonts w:ascii="Arial" w:eastAsia="Arial" w:hAnsi="Arial"/>
          <w:i/>
          <w:sz w:val="22"/>
          <w:szCs w:val="22"/>
        </w:rPr>
        <w:t>pool</w:t>
      </w:r>
      <w:r>
        <w:rPr>
          <w:rFonts w:ascii="Arial" w:eastAsia="Arial" w:hAnsi="Arial"/>
          <w:sz w:val="22"/>
          <w:szCs w:val="22"/>
        </w:rPr>
        <w:t xml:space="preserve"> de órgãos. Quanto a PCR para fatores de virulência de </w:t>
      </w:r>
      <w:r>
        <w:rPr>
          <w:rFonts w:ascii="Arial" w:eastAsia="Arial" w:hAnsi="Arial"/>
          <w:i/>
          <w:sz w:val="22"/>
          <w:szCs w:val="22"/>
        </w:rPr>
        <w:t>E. coli</w:t>
      </w:r>
      <w:r>
        <w:rPr>
          <w:rFonts w:ascii="Arial" w:eastAsia="Arial" w:hAnsi="Arial"/>
          <w:sz w:val="22"/>
          <w:szCs w:val="22"/>
        </w:rPr>
        <w:t>, a</w:t>
      </w:r>
      <w:r>
        <w:rPr>
          <w:rFonts w:ascii="Arial" w:eastAsia="Arial" w:hAnsi="Arial"/>
          <w:color w:val="000000"/>
          <w:sz w:val="22"/>
          <w:szCs w:val="22"/>
        </w:rPr>
        <w:t xml:space="preserve"> cepa isolada do intestino foi negativa para todos </w:t>
      </w:r>
      <w:r>
        <w:rPr>
          <w:rFonts w:ascii="Arial" w:eastAsia="Arial" w:hAnsi="Arial"/>
          <w:sz w:val="22"/>
          <w:szCs w:val="22"/>
        </w:rPr>
        <w:t xml:space="preserve">os genes </w:t>
      </w:r>
      <w:r>
        <w:rPr>
          <w:rFonts w:ascii="Arial" w:eastAsia="Arial" w:hAnsi="Arial"/>
          <w:color w:val="000000"/>
          <w:sz w:val="22"/>
          <w:szCs w:val="22"/>
        </w:rPr>
        <w:t xml:space="preserve">testados; já a cepa do </w:t>
      </w:r>
      <w:r>
        <w:rPr>
          <w:rFonts w:ascii="Arial" w:eastAsia="Arial" w:hAnsi="Arial"/>
          <w:i/>
          <w:color w:val="000000"/>
          <w:sz w:val="22"/>
          <w:szCs w:val="22"/>
        </w:rPr>
        <w:t xml:space="preserve">pool </w:t>
      </w:r>
      <w:r>
        <w:rPr>
          <w:rFonts w:ascii="Arial" w:eastAsia="Arial" w:hAnsi="Arial"/>
          <w:color w:val="000000"/>
          <w:sz w:val="22"/>
          <w:szCs w:val="22"/>
        </w:rPr>
        <w:t xml:space="preserve">de órgãos foi positiva para a toxina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Sta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 e para as fímbrias F5 e F41, sendo caracterizada como </w:t>
      </w:r>
      <w:r>
        <w:rPr>
          <w:rFonts w:ascii="Arial" w:eastAsia="Arial" w:hAnsi="Arial"/>
          <w:i/>
          <w:color w:val="000000"/>
          <w:sz w:val="22"/>
          <w:szCs w:val="22"/>
        </w:rPr>
        <w:t>E</w:t>
      </w:r>
      <w:r>
        <w:rPr>
          <w:rFonts w:ascii="Arial" w:eastAsia="Arial" w:hAnsi="Arial"/>
          <w:i/>
          <w:sz w:val="22"/>
          <w:szCs w:val="22"/>
        </w:rPr>
        <w:t>.</w:t>
      </w:r>
      <w:r>
        <w:rPr>
          <w:rFonts w:ascii="Arial" w:eastAsia="Arial" w:hAnsi="Arial"/>
          <w:i/>
          <w:color w:val="000000"/>
          <w:sz w:val="22"/>
          <w:szCs w:val="22"/>
        </w:rPr>
        <w:t xml:space="preserve"> coli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enterotoxigênica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 xml:space="preserve"> (ETEC). </w:t>
      </w:r>
      <w:r>
        <w:rPr>
          <w:rFonts w:ascii="Arial" w:eastAsia="Arial" w:hAnsi="Arial"/>
          <w:sz w:val="22"/>
          <w:szCs w:val="22"/>
        </w:rPr>
        <w:t xml:space="preserve">A infecção por </w:t>
      </w:r>
      <w:r>
        <w:rPr>
          <w:rFonts w:ascii="Arial" w:eastAsia="Arial" w:hAnsi="Arial"/>
          <w:i/>
          <w:sz w:val="22"/>
          <w:szCs w:val="22"/>
        </w:rPr>
        <w:t>E. coli</w:t>
      </w:r>
      <w:r>
        <w:rPr>
          <w:rFonts w:ascii="Arial" w:eastAsia="Arial" w:hAnsi="Arial"/>
          <w:sz w:val="22"/>
          <w:szCs w:val="22"/>
        </w:rPr>
        <w:t xml:space="preserve"> ETEC danifica as funções da barreira epitelial intestinal, resultando em diarreia aquosa e inflamação intestinal, sendo apontadas como a principal causa de diarreia neonatal em bezerros (DUBREUIL, ISAACSON &amp; SCHIFFERLI, 2016). </w:t>
      </w:r>
    </w:p>
    <w:p w14:paraId="0A5157D7" w14:textId="089B1A5F" w:rsidR="009F48AE" w:rsidRDefault="00000000">
      <w:pPr>
        <w:pStyle w:val="LO-normal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 xml:space="preserve">O </w:t>
      </w:r>
      <w:r>
        <w:rPr>
          <w:rFonts w:ascii="Arial" w:eastAsia="Arial" w:hAnsi="Arial"/>
          <w:sz w:val="22"/>
          <w:szCs w:val="22"/>
        </w:rPr>
        <w:t xml:space="preserve">TSA foi realizado em 2 isolados de </w:t>
      </w:r>
      <w:r>
        <w:rPr>
          <w:rFonts w:ascii="Arial" w:eastAsia="Arial" w:hAnsi="Arial"/>
          <w:i/>
          <w:sz w:val="22"/>
          <w:szCs w:val="22"/>
        </w:rPr>
        <w:t>E. coli</w:t>
      </w:r>
      <w:r>
        <w:rPr>
          <w:rFonts w:ascii="Arial" w:eastAsia="Arial" w:hAnsi="Arial"/>
          <w:sz w:val="22"/>
          <w:szCs w:val="22"/>
        </w:rPr>
        <w:t xml:space="preserve"> (intestino e </w:t>
      </w:r>
      <w:r>
        <w:rPr>
          <w:rFonts w:ascii="Arial" w:eastAsia="Arial" w:hAnsi="Arial"/>
          <w:i/>
          <w:sz w:val="22"/>
          <w:szCs w:val="22"/>
        </w:rPr>
        <w:t xml:space="preserve">pool </w:t>
      </w:r>
      <w:r>
        <w:rPr>
          <w:rFonts w:ascii="Arial" w:eastAsia="Arial" w:hAnsi="Arial"/>
          <w:sz w:val="22"/>
          <w:szCs w:val="22"/>
        </w:rPr>
        <w:t xml:space="preserve">de órgãos) e 2 isolados de </w:t>
      </w:r>
      <w:r>
        <w:rPr>
          <w:rFonts w:ascii="Arial" w:eastAsia="Arial" w:hAnsi="Arial"/>
          <w:i/>
          <w:sz w:val="22"/>
          <w:szCs w:val="22"/>
        </w:rPr>
        <w:t>Salmonella</w:t>
      </w:r>
      <w:r>
        <w:rPr>
          <w:rFonts w:ascii="Arial" w:eastAsia="Arial" w:hAnsi="Arial"/>
          <w:sz w:val="22"/>
          <w:szCs w:val="22"/>
        </w:rPr>
        <w:t xml:space="preserve"> spp. (intestino e </w:t>
      </w:r>
      <w:r>
        <w:rPr>
          <w:rFonts w:ascii="Arial" w:eastAsia="Arial" w:hAnsi="Arial"/>
          <w:i/>
          <w:sz w:val="22"/>
          <w:szCs w:val="22"/>
        </w:rPr>
        <w:t xml:space="preserve">pool </w:t>
      </w:r>
      <w:r>
        <w:rPr>
          <w:rFonts w:ascii="Arial" w:eastAsia="Arial" w:hAnsi="Arial"/>
          <w:sz w:val="22"/>
          <w:szCs w:val="22"/>
        </w:rPr>
        <w:t>de órgãos). O perfil de resistência dos isolados de</w:t>
      </w:r>
      <w:r>
        <w:rPr>
          <w:rFonts w:ascii="Arial" w:eastAsia="Arial" w:hAnsi="Arial"/>
          <w:i/>
          <w:sz w:val="22"/>
          <w:szCs w:val="22"/>
        </w:rPr>
        <w:t xml:space="preserve"> E. coli</w:t>
      </w:r>
      <w:r>
        <w:rPr>
          <w:rFonts w:ascii="Arial" w:eastAsia="Arial" w:hAnsi="Arial"/>
          <w:sz w:val="22"/>
          <w:szCs w:val="22"/>
        </w:rPr>
        <w:t xml:space="preserve"> e </w:t>
      </w:r>
      <w:r>
        <w:rPr>
          <w:rFonts w:ascii="Arial" w:eastAsia="Arial" w:hAnsi="Arial"/>
          <w:i/>
          <w:sz w:val="22"/>
          <w:szCs w:val="22"/>
        </w:rPr>
        <w:t>Salmonella</w:t>
      </w:r>
      <w:r>
        <w:rPr>
          <w:rFonts w:ascii="Arial" w:eastAsia="Arial" w:hAnsi="Arial"/>
          <w:sz w:val="22"/>
          <w:szCs w:val="22"/>
        </w:rPr>
        <w:t xml:space="preserve"> spp. foi semelhante. Os isolados de </w:t>
      </w:r>
      <w:r>
        <w:rPr>
          <w:rFonts w:ascii="Arial" w:eastAsia="Arial" w:hAnsi="Arial"/>
          <w:i/>
          <w:sz w:val="22"/>
          <w:szCs w:val="22"/>
        </w:rPr>
        <w:t>pool</w:t>
      </w:r>
      <w:r>
        <w:rPr>
          <w:rFonts w:ascii="Arial" w:eastAsia="Arial" w:hAnsi="Arial"/>
          <w:sz w:val="22"/>
          <w:szCs w:val="22"/>
        </w:rPr>
        <w:t xml:space="preserve"> de órgãos e intestino de ambos os </w:t>
      </w:r>
      <w:r>
        <w:rPr>
          <w:rFonts w:ascii="Arial" w:eastAsia="Arial" w:hAnsi="Arial"/>
          <w:sz w:val="22"/>
          <w:szCs w:val="22"/>
        </w:rPr>
        <w:lastRenderedPageBreak/>
        <w:t xml:space="preserve">agentes foram resistentes a amoxicilina com ácido clavulânico, ampicilina e cefalexina, azitromicina, neomicina, </w:t>
      </w:r>
      <w:proofErr w:type="spellStart"/>
      <w:r>
        <w:rPr>
          <w:rFonts w:ascii="Arial" w:eastAsia="Arial" w:hAnsi="Arial"/>
          <w:sz w:val="22"/>
          <w:szCs w:val="22"/>
        </w:rPr>
        <w:t>enrofloxacina</w:t>
      </w:r>
      <w:proofErr w:type="spellEnd"/>
      <w:r>
        <w:rPr>
          <w:rFonts w:ascii="Arial" w:eastAsia="Arial" w:hAnsi="Arial"/>
          <w:sz w:val="22"/>
          <w:szCs w:val="22"/>
        </w:rPr>
        <w:t xml:space="preserve">, metronidazol, ácido </w:t>
      </w:r>
      <w:proofErr w:type="spellStart"/>
      <w:r>
        <w:rPr>
          <w:rFonts w:ascii="Arial" w:eastAsia="Arial" w:hAnsi="Arial"/>
          <w:sz w:val="22"/>
          <w:szCs w:val="22"/>
        </w:rPr>
        <w:t>nalidíxico</w:t>
      </w:r>
      <w:proofErr w:type="spellEnd"/>
      <w:r>
        <w:rPr>
          <w:rFonts w:ascii="Arial" w:eastAsia="Arial" w:hAnsi="Arial"/>
          <w:sz w:val="22"/>
          <w:szCs w:val="22"/>
        </w:rPr>
        <w:t xml:space="preserve"> e tetraciclina. Todos os isolados apresentaram sensibilidade a </w:t>
      </w:r>
      <w:proofErr w:type="spellStart"/>
      <w:r>
        <w:rPr>
          <w:rFonts w:ascii="Arial" w:eastAsia="Arial" w:hAnsi="Arial"/>
          <w:sz w:val="22"/>
          <w:szCs w:val="22"/>
        </w:rPr>
        <w:t>Norfloxacina</w:t>
      </w:r>
      <w:proofErr w:type="spellEnd"/>
      <w:r>
        <w:rPr>
          <w:rFonts w:ascii="Arial" w:eastAsia="Arial" w:hAnsi="Arial"/>
          <w:sz w:val="22"/>
          <w:szCs w:val="22"/>
        </w:rPr>
        <w:t xml:space="preserve">. Os isolados de </w:t>
      </w:r>
      <w:r>
        <w:rPr>
          <w:rFonts w:ascii="Arial" w:eastAsia="Arial" w:hAnsi="Arial"/>
          <w:i/>
          <w:sz w:val="22"/>
          <w:szCs w:val="22"/>
        </w:rPr>
        <w:t>E. coli</w:t>
      </w:r>
      <w:r>
        <w:rPr>
          <w:rFonts w:ascii="Arial" w:eastAsia="Arial" w:hAnsi="Arial"/>
          <w:sz w:val="22"/>
          <w:szCs w:val="22"/>
        </w:rPr>
        <w:t xml:space="preserve"> apresentaram resultado intermediário para </w:t>
      </w:r>
      <w:proofErr w:type="spellStart"/>
      <w:r>
        <w:rPr>
          <w:rFonts w:ascii="Arial" w:eastAsia="Arial" w:hAnsi="Arial"/>
          <w:sz w:val="22"/>
          <w:szCs w:val="22"/>
        </w:rPr>
        <w:t>marbofloxacina</w:t>
      </w:r>
      <w:proofErr w:type="spellEnd"/>
      <w:r>
        <w:rPr>
          <w:rFonts w:ascii="Arial" w:eastAsia="Arial" w:hAnsi="Arial"/>
          <w:sz w:val="22"/>
          <w:szCs w:val="22"/>
        </w:rPr>
        <w:t xml:space="preserve"> e entre intermediário e resistente para gentamicina. Já os isolados de </w:t>
      </w:r>
      <w:r>
        <w:rPr>
          <w:rFonts w:ascii="Arial" w:eastAsia="Arial" w:hAnsi="Arial"/>
          <w:i/>
          <w:sz w:val="22"/>
          <w:szCs w:val="22"/>
        </w:rPr>
        <w:t xml:space="preserve">Salmonella </w:t>
      </w:r>
      <w:r>
        <w:rPr>
          <w:rFonts w:ascii="Arial" w:eastAsia="Arial" w:hAnsi="Arial"/>
          <w:sz w:val="22"/>
          <w:szCs w:val="22"/>
        </w:rPr>
        <w:t xml:space="preserve">spp. foram sensíveis à gentamicina e à </w:t>
      </w:r>
      <w:proofErr w:type="spellStart"/>
      <w:r>
        <w:rPr>
          <w:rFonts w:ascii="Arial" w:eastAsia="Arial" w:hAnsi="Arial"/>
          <w:sz w:val="22"/>
          <w:szCs w:val="22"/>
        </w:rPr>
        <w:t>marbofloxacina</w:t>
      </w:r>
      <w:proofErr w:type="spellEnd"/>
      <w:r>
        <w:rPr>
          <w:rFonts w:ascii="Arial" w:eastAsia="Arial" w:hAnsi="Arial"/>
          <w:sz w:val="22"/>
          <w:szCs w:val="22"/>
        </w:rPr>
        <w:t xml:space="preserve">. Assim, todos os isolados desse caso foram resistentes </w:t>
      </w:r>
      <w:r w:rsidR="00FB19EF">
        <w:rPr>
          <w:rFonts w:ascii="Arial" w:eastAsia="Arial" w:hAnsi="Arial"/>
          <w:sz w:val="22"/>
          <w:szCs w:val="22"/>
        </w:rPr>
        <w:t>a 8</w:t>
      </w:r>
      <w:r>
        <w:rPr>
          <w:rFonts w:ascii="Arial" w:eastAsia="Arial" w:hAnsi="Arial"/>
          <w:sz w:val="22"/>
          <w:szCs w:val="22"/>
        </w:rPr>
        <w:t xml:space="preserve"> antimicrobianos testados. As maiores taxas de resistência foram observadas para os beta-lactâmicos, aminoglicosídeos, </w:t>
      </w:r>
      <w:proofErr w:type="spellStart"/>
      <w:r>
        <w:rPr>
          <w:rFonts w:ascii="Arial" w:eastAsia="Arial" w:hAnsi="Arial"/>
          <w:sz w:val="22"/>
          <w:szCs w:val="22"/>
        </w:rPr>
        <w:t>macrolídeos</w:t>
      </w:r>
      <w:proofErr w:type="spellEnd"/>
      <w:r>
        <w:rPr>
          <w:rFonts w:ascii="Arial" w:eastAsia="Arial" w:hAnsi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/>
          <w:sz w:val="22"/>
          <w:szCs w:val="22"/>
        </w:rPr>
        <w:t>fluoroquinolonas</w:t>
      </w:r>
      <w:proofErr w:type="spellEnd"/>
      <w:r>
        <w:rPr>
          <w:rFonts w:ascii="Arial" w:eastAsia="Arial" w:hAnsi="Arial"/>
          <w:sz w:val="22"/>
          <w:szCs w:val="22"/>
        </w:rPr>
        <w:t xml:space="preserve"> e tetraciclinas, sendo assim os 4 isolados foram classificados como fenótipo multidroga resistente (MDR). Os resultados deste caso corroboram com pesquisas de outros países, onde altos índices de resistência aos antimicrobianos em cepas de </w:t>
      </w:r>
      <w:r>
        <w:rPr>
          <w:rFonts w:ascii="Arial" w:eastAsia="Arial" w:hAnsi="Arial"/>
          <w:i/>
          <w:sz w:val="22"/>
          <w:szCs w:val="22"/>
        </w:rPr>
        <w:t xml:space="preserve">E. coli </w:t>
      </w:r>
      <w:r>
        <w:rPr>
          <w:rFonts w:ascii="Arial" w:eastAsia="Arial" w:hAnsi="Arial"/>
          <w:sz w:val="22"/>
          <w:szCs w:val="22"/>
        </w:rPr>
        <w:t xml:space="preserve">e </w:t>
      </w:r>
      <w:r>
        <w:rPr>
          <w:rFonts w:ascii="Arial" w:eastAsia="Arial" w:hAnsi="Arial"/>
          <w:i/>
          <w:sz w:val="22"/>
          <w:szCs w:val="22"/>
        </w:rPr>
        <w:t>Salmonella</w:t>
      </w:r>
      <w:r>
        <w:rPr>
          <w:rFonts w:ascii="Arial" w:eastAsia="Arial" w:hAnsi="Arial"/>
          <w:sz w:val="22"/>
          <w:szCs w:val="22"/>
        </w:rPr>
        <w:t xml:space="preserve"> sp. isoladas de animais foram encontrados.</w:t>
      </w:r>
    </w:p>
    <w:p w14:paraId="0A5157D8" w14:textId="77777777" w:rsidR="009F48AE" w:rsidRDefault="009F48AE">
      <w:pPr>
        <w:pStyle w:val="LO-normal"/>
        <w:jc w:val="both"/>
        <w:rPr>
          <w:rFonts w:ascii="Arial" w:eastAsia="Arial" w:hAnsi="Arial"/>
          <w:b/>
          <w:color w:val="000000"/>
          <w:sz w:val="22"/>
          <w:szCs w:val="22"/>
        </w:rPr>
      </w:pPr>
    </w:p>
    <w:p w14:paraId="0A5157D9" w14:textId="77777777" w:rsidR="009F48AE" w:rsidRDefault="00000000">
      <w:pPr>
        <w:pStyle w:val="LO-normal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color w:val="000000"/>
          <w:sz w:val="22"/>
          <w:szCs w:val="22"/>
        </w:rPr>
        <w:t xml:space="preserve">Conclusão: </w:t>
      </w:r>
    </w:p>
    <w:p w14:paraId="0A5157DA" w14:textId="123D0EB0" w:rsidR="009F48AE" w:rsidRDefault="00000000">
      <w:pPr>
        <w:pStyle w:val="LO-normal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Um caso de </w:t>
      </w:r>
      <w:proofErr w:type="spellStart"/>
      <w:r>
        <w:rPr>
          <w:rFonts w:ascii="Arial" w:eastAsia="Arial" w:hAnsi="Arial"/>
          <w:sz w:val="22"/>
          <w:szCs w:val="22"/>
        </w:rPr>
        <w:t>colibacilose</w:t>
      </w:r>
      <w:proofErr w:type="spellEnd"/>
      <w:r>
        <w:rPr>
          <w:rFonts w:ascii="Arial" w:eastAsia="Arial" w:hAnsi="Arial"/>
          <w:sz w:val="22"/>
          <w:szCs w:val="22"/>
        </w:rPr>
        <w:t xml:space="preserve"> neonatal por </w:t>
      </w:r>
      <w:r>
        <w:rPr>
          <w:rFonts w:ascii="Arial" w:eastAsia="Arial" w:hAnsi="Arial"/>
          <w:i/>
          <w:sz w:val="22"/>
          <w:szCs w:val="22"/>
        </w:rPr>
        <w:t>E. coli</w:t>
      </w:r>
      <w:r>
        <w:rPr>
          <w:rFonts w:ascii="Arial" w:eastAsia="Arial" w:hAnsi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/>
          <w:sz w:val="22"/>
          <w:szCs w:val="22"/>
        </w:rPr>
        <w:t>enterotoxigênica</w:t>
      </w:r>
      <w:proofErr w:type="spellEnd"/>
      <w:r>
        <w:rPr>
          <w:rFonts w:ascii="Arial" w:eastAsia="Arial" w:hAnsi="Arial"/>
          <w:sz w:val="22"/>
          <w:szCs w:val="22"/>
        </w:rPr>
        <w:t xml:space="preserve"> e enterite </w:t>
      </w:r>
      <w:proofErr w:type="spellStart"/>
      <w:r>
        <w:rPr>
          <w:rFonts w:ascii="Arial" w:eastAsia="Arial" w:hAnsi="Arial"/>
          <w:sz w:val="22"/>
          <w:szCs w:val="22"/>
        </w:rPr>
        <w:t>necro</w:t>
      </w:r>
      <w:proofErr w:type="spellEnd"/>
      <w:r>
        <w:rPr>
          <w:rFonts w:ascii="Arial" w:eastAsia="Arial" w:hAnsi="Arial"/>
          <w:sz w:val="22"/>
          <w:szCs w:val="22"/>
        </w:rPr>
        <w:t xml:space="preserve">-hemorrágica septicêmica por </w:t>
      </w:r>
      <w:r>
        <w:rPr>
          <w:rFonts w:ascii="Arial" w:eastAsia="Arial" w:hAnsi="Arial"/>
          <w:i/>
          <w:sz w:val="22"/>
          <w:szCs w:val="22"/>
        </w:rPr>
        <w:t>Salmonella</w:t>
      </w:r>
      <w:r>
        <w:rPr>
          <w:rFonts w:ascii="Arial" w:eastAsia="Arial" w:hAnsi="Arial"/>
          <w:sz w:val="22"/>
          <w:szCs w:val="22"/>
        </w:rPr>
        <w:t xml:space="preserve"> sp. foi diagnosticado em uma terneira de 2 dias de vida. O curso clínico foi agudo, sendo a diarreia o principal sinal clínico observado. Os isolados deste trabalho foram resistentes a 8 antimicrobianos testados, sendo classificados como MDR. Essas informações levantam preocupação com relação a patogenicidade das cepas de </w:t>
      </w:r>
      <w:r>
        <w:rPr>
          <w:rFonts w:ascii="Arial" w:eastAsia="Arial" w:hAnsi="Arial"/>
          <w:i/>
          <w:sz w:val="22"/>
          <w:szCs w:val="22"/>
        </w:rPr>
        <w:t>E. coli</w:t>
      </w:r>
      <w:r>
        <w:rPr>
          <w:rFonts w:ascii="Arial" w:eastAsia="Arial" w:hAnsi="Arial"/>
          <w:sz w:val="22"/>
          <w:szCs w:val="22"/>
        </w:rPr>
        <w:t xml:space="preserve"> e </w:t>
      </w:r>
      <w:r>
        <w:rPr>
          <w:rFonts w:ascii="Arial" w:eastAsia="Arial" w:hAnsi="Arial"/>
          <w:i/>
          <w:sz w:val="22"/>
          <w:szCs w:val="22"/>
        </w:rPr>
        <w:t>Salmonella</w:t>
      </w:r>
      <w:r>
        <w:rPr>
          <w:rFonts w:ascii="Arial" w:eastAsia="Arial" w:hAnsi="Arial"/>
          <w:sz w:val="22"/>
          <w:szCs w:val="22"/>
        </w:rPr>
        <w:t xml:space="preserve"> sp. circulantes na cadeia produtiva, bem como com alto índice de resistência aos antimicrobianos. Nesse contexto, a identificação das causas da diarreia em animais de produção é uma ferramenta importante para reduzir as perdas econômicas, ajustar a conduta terapêutica mais apropriada e avaliar os protocolos de vacinação e manejos aplicáveis.</w:t>
      </w:r>
    </w:p>
    <w:p w14:paraId="0A5157DB" w14:textId="77777777" w:rsidR="009F48AE" w:rsidRDefault="009F48AE">
      <w:pPr>
        <w:pStyle w:val="LO-normal"/>
        <w:jc w:val="both"/>
        <w:rPr>
          <w:rFonts w:ascii="Arial" w:eastAsia="Arial" w:hAnsi="Arial"/>
          <w:b/>
          <w:color w:val="000000"/>
          <w:sz w:val="22"/>
          <w:szCs w:val="22"/>
        </w:rPr>
      </w:pPr>
    </w:p>
    <w:p w14:paraId="0A5157DC" w14:textId="77777777" w:rsidR="009F48AE" w:rsidRDefault="00000000">
      <w:pPr>
        <w:pStyle w:val="LO-normal"/>
        <w:jc w:val="both"/>
        <w:rPr>
          <w:rFonts w:ascii="Cambria" w:eastAsia="Cambria" w:hAnsi="Cambria" w:cs="Cambria"/>
          <w:color w:val="00000A"/>
        </w:rPr>
      </w:pPr>
      <w:proofErr w:type="spellStart"/>
      <w:r>
        <w:rPr>
          <w:rFonts w:ascii="Arial" w:eastAsia="Arial" w:hAnsi="Arial"/>
          <w:b/>
          <w:color w:val="000000"/>
          <w:sz w:val="22"/>
          <w:szCs w:val="22"/>
        </w:rPr>
        <w:t>Referências</w:t>
      </w:r>
      <w:proofErr w:type="spellEnd"/>
      <w:r>
        <w:rPr>
          <w:rFonts w:ascii="Arial" w:eastAsia="Arial" w:hAnsi="Arial"/>
          <w:b/>
          <w:color w:val="000000"/>
          <w:sz w:val="22"/>
          <w:szCs w:val="22"/>
        </w:rPr>
        <w:t xml:space="preserve">: </w:t>
      </w:r>
    </w:p>
    <w:p w14:paraId="0A5157DD" w14:textId="77777777" w:rsidR="009F48AE" w:rsidRDefault="00000000">
      <w:pPr>
        <w:pStyle w:val="LO-normal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COSTA, M.M. DA; MABONI, F.WEBER, S.S. FERRONATO, A.I. SCHRANK, I.S. VARGAS, A.P.C. </w:t>
      </w:r>
      <w:proofErr w:type="spellStart"/>
      <w:r>
        <w:rPr>
          <w:rFonts w:ascii="Arial" w:eastAsia="Arial" w:hAnsi="Arial"/>
          <w:sz w:val="22"/>
          <w:szCs w:val="22"/>
        </w:rPr>
        <w:t>Patotipos</w:t>
      </w:r>
      <w:proofErr w:type="spellEnd"/>
      <w:r>
        <w:rPr>
          <w:rFonts w:ascii="Arial" w:eastAsia="Arial" w:hAnsi="Arial"/>
          <w:sz w:val="22"/>
          <w:szCs w:val="22"/>
        </w:rPr>
        <w:t xml:space="preserve"> de </w:t>
      </w:r>
      <w:r>
        <w:rPr>
          <w:rFonts w:ascii="Arial" w:eastAsia="Arial" w:hAnsi="Arial"/>
          <w:i/>
          <w:sz w:val="22"/>
          <w:szCs w:val="22"/>
        </w:rPr>
        <w:t xml:space="preserve">Escherichia coli </w:t>
      </w:r>
      <w:r>
        <w:rPr>
          <w:rFonts w:ascii="Arial" w:eastAsia="Arial" w:hAnsi="Arial"/>
          <w:sz w:val="22"/>
          <w:szCs w:val="22"/>
        </w:rPr>
        <w:t xml:space="preserve">na suinocultura e suas implicações ambientais e na resistência aos antimicrobianos. Arquivos do Instituto Biológico, São Paulo, v.76, n.3, p. 509-516, jul./set., 2009. </w:t>
      </w:r>
    </w:p>
    <w:p w14:paraId="0A5157DE" w14:textId="77777777" w:rsidR="009F48AE" w:rsidRDefault="009F48AE">
      <w:pPr>
        <w:pStyle w:val="LO-normal"/>
        <w:jc w:val="both"/>
        <w:rPr>
          <w:rFonts w:ascii="Arial" w:eastAsia="Arial" w:hAnsi="Arial"/>
          <w:sz w:val="22"/>
          <w:szCs w:val="22"/>
        </w:rPr>
      </w:pPr>
    </w:p>
    <w:p w14:paraId="0A5157DF" w14:textId="77777777" w:rsidR="009F48AE" w:rsidRPr="003E2E6D" w:rsidRDefault="00000000">
      <w:pPr>
        <w:pStyle w:val="LO-normal"/>
        <w:jc w:val="both"/>
        <w:rPr>
          <w:rFonts w:ascii="Arial" w:eastAsia="Arial" w:hAnsi="Arial"/>
          <w:color w:val="000000"/>
          <w:sz w:val="22"/>
          <w:szCs w:val="22"/>
          <w:lang w:val="en-US"/>
        </w:rPr>
      </w:pPr>
      <w:r w:rsidRPr="003E2E6D">
        <w:rPr>
          <w:rFonts w:ascii="Arial" w:eastAsia="Arial" w:hAnsi="Arial"/>
          <w:color w:val="000000"/>
          <w:sz w:val="22"/>
          <w:szCs w:val="22"/>
          <w:lang w:val="en-US"/>
        </w:rPr>
        <w:t>CLINICAL AND LABORATORY STANDARDS INSTITUTE - CLSI. Performance Standards for Antimicrobial Disk and Dilution Susceptibility Tests for Bacteria Isolated from Animals – VET01S. 3 ed. Wayne: CLSI, 2015. 128p</w:t>
      </w:r>
    </w:p>
    <w:p w14:paraId="0A5157E0" w14:textId="77777777" w:rsidR="009F48AE" w:rsidRPr="003E2E6D" w:rsidRDefault="009F48AE">
      <w:pPr>
        <w:pStyle w:val="LO-normal"/>
        <w:jc w:val="both"/>
        <w:rPr>
          <w:rFonts w:ascii="Arial" w:eastAsia="Arial" w:hAnsi="Arial"/>
          <w:sz w:val="22"/>
          <w:szCs w:val="22"/>
          <w:lang w:val="en-US"/>
        </w:rPr>
      </w:pPr>
    </w:p>
    <w:p w14:paraId="0A5157E1" w14:textId="77777777" w:rsidR="009F48AE" w:rsidRPr="003E2E6D" w:rsidRDefault="00000000">
      <w:pPr>
        <w:pStyle w:val="LO-normal"/>
        <w:jc w:val="both"/>
        <w:rPr>
          <w:rFonts w:ascii="Arial" w:eastAsia="Arial" w:hAnsi="Arial"/>
          <w:color w:val="282828"/>
          <w:sz w:val="22"/>
          <w:szCs w:val="22"/>
          <w:lang w:val="en-US"/>
        </w:rPr>
      </w:pPr>
      <w:r w:rsidRPr="003E2E6D">
        <w:rPr>
          <w:rFonts w:ascii="Arial" w:eastAsia="Arial" w:hAnsi="Arial"/>
          <w:color w:val="282828"/>
          <w:sz w:val="22"/>
          <w:szCs w:val="22"/>
          <w:lang w:val="en-US"/>
        </w:rPr>
        <w:t xml:space="preserve">DUBREUIL, J.D. ISAACSON, R.E.; SCHIFFERLI, D.M. Animal enterotoxigenic </w:t>
      </w:r>
      <w:r w:rsidRPr="003E2E6D">
        <w:rPr>
          <w:rFonts w:ascii="Arial" w:eastAsia="Arial" w:hAnsi="Arial"/>
          <w:i/>
          <w:color w:val="282828"/>
          <w:sz w:val="22"/>
          <w:szCs w:val="22"/>
          <w:lang w:val="en-US"/>
        </w:rPr>
        <w:t xml:space="preserve">Escherichia coli. </w:t>
      </w:r>
      <w:proofErr w:type="spellStart"/>
      <w:r w:rsidRPr="003E2E6D">
        <w:rPr>
          <w:rFonts w:ascii="Arial" w:eastAsia="Arial" w:hAnsi="Arial"/>
          <w:i/>
          <w:color w:val="282828"/>
          <w:sz w:val="22"/>
          <w:szCs w:val="22"/>
          <w:lang w:val="en-US"/>
        </w:rPr>
        <w:t>EcoSal</w:t>
      </w:r>
      <w:proofErr w:type="spellEnd"/>
      <w:r w:rsidRPr="003E2E6D">
        <w:rPr>
          <w:rFonts w:ascii="Arial" w:eastAsia="Arial" w:hAnsi="Arial"/>
          <w:i/>
          <w:color w:val="282828"/>
          <w:sz w:val="22"/>
          <w:szCs w:val="22"/>
          <w:lang w:val="en-US"/>
        </w:rPr>
        <w:t xml:space="preserve"> Plus, Washington, n. </w:t>
      </w:r>
      <w:r w:rsidRPr="003E2E6D">
        <w:rPr>
          <w:rFonts w:ascii="Arial" w:eastAsia="Arial" w:hAnsi="Arial"/>
          <w:color w:val="282828"/>
          <w:sz w:val="22"/>
          <w:szCs w:val="22"/>
          <w:lang w:val="en-US"/>
        </w:rPr>
        <w:t>7, p.1-80, 2016.</w:t>
      </w:r>
    </w:p>
    <w:p w14:paraId="0A5157E2" w14:textId="77777777" w:rsidR="009F48AE" w:rsidRPr="003E2E6D" w:rsidRDefault="009F48AE">
      <w:pPr>
        <w:pStyle w:val="LO-normal"/>
        <w:jc w:val="both"/>
        <w:rPr>
          <w:rFonts w:ascii="Arial" w:eastAsia="Arial" w:hAnsi="Arial"/>
          <w:color w:val="282828"/>
          <w:sz w:val="22"/>
          <w:szCs w:val="22"/>
          <w:lang w:val="en-US"/>
        </w:rPr>
      </w:pPr>
    </w:p>
    <w:p w14:paraId="0A5157E3" w14:textId="77777777" w:rsidR="009F48AE" w:rsidRDefault="00000000">
      <w:pPr>
        <w:pStyle w:val="LO-normal"/>
        <w:jc w:val="both"/>
        <w:rPr>
          <w:rFonts w:ascii="Arial" w:eastAsia="Arial" w:hAnsi="Arial"/>
          <w:color w:val="282828"/>
          <w:sz w:val="22"/>
          <w:szCs w:val="22"/>
        </w:rPr>
      </w:pPr>
      <w:r w:rsidRPr="003E2E6D">
        <w:rPr>
          <w:rFonts w:ascii="Arial" w:eastAsia="Arial" w:hAnsi="Arial"/>
          <w:sz w:val="22"/>
          <w:szCs w:val="22"/>
          <w:lang w:val="en-US"/>
        </w:rPr>
        <w:t xml:space="preserve">GIRARDINI, L.K.; SIQUEIRA, F.M.; KREWER, C.C.; KREWER, C.C. COSTA, M.M. VARGAS, A.C. Phylogenetic and pathotype analysis of </w:t>
      </w:r>
      <w:r w:rsidRPr="003E2E6D">
        <w:rPr>
          <w:rFonts w:ascii="Arial" w:eastAsia="Arial" w:hAnsi="Arial"/>
          <w:i/>
          <w:sz w:val="22"/>
          <w:szCs w:val="22"/>
          <w:lang w:val="en-US"/>
        </w:rPr>
        <w:t>Escherichia coli</w:t>
      </w:r>
      <w:r w:rsidRPr="003E2E6D">
        <w:rPr>
          <w:rFonts w:ascii="Arial" w:eastAsia="Arial" w:hAnsi="Arial"/>
          <w:sz w:val="22"/>
          <w:szCs w:val="22"/>
          <w:lang w:val="en-US"/>
        </w:rPr>
        <w:t xml:space="preserve"> swine isolates from Southern Brazil. </w:t>
      </w:r>
      <w:r>
        <w:rPr>
          <w:rFonts w:ascii="Arial" w:eastAsia="Arial" w:hAnsi="Arial"/>
          <w:b/>
          <w:sz w:val="22"/>
          <w:szCs w:val="22"/>
        </w:rPr>
        <w:t xml:space="preserve">Pesquisa Veterinária Brasileira, </w:t>
      </w:r>
      <w:r>
        <w:rPr>
          <w:rFonts w:ascii="Arial" w:eastAsia="Arial" w:hAnsi="Arial"/>
          <w:color w:val="333333"/>
          <w:sz w:val="22"/>
          <w:szCs w:val="22"/>
          <w:highlight w:val="white"/>
        </w:rPr>
        <w:t>Rio de Janeiro</w:t>
      </w:r>
      <w:r>
        <w:rPr>
          <w:rFonts w:ascii="Arial" w:eastAsia="Arial" w:hAnsi="Arial"/>
          <w:sz w:val="22"/>
          <w:szCs w:val="22"/>
        </w:rPr>
        <w:t xml:space="preserve">, v. 32, n. 5, p.374-378, 2012.  </w:t>
      </w:r>
    </w:p>
    <w:p w14:paraId="0A5157E4" w14:textId="77777777" w:rsidR="009F48AE" w:rsidRDefault="009F48AE">
      <w:pPr>
        <w:pStyle w:val="LO-normal"/>
        <w:jc w:val="both"/>
        <w:rPr>
          <w:rFonts w:ascii="Arial" w:eastAsia="Arial" w:hAnsi="Arial"/>
          <w:color w:val="000000"/>
          <w:sz w:val="22"/>
          <w:szCs w:val="22"/>
        </w:rPr>
      </w:pPr>
    </w:p>
    <w:p w14:paraId="0A5157E5" w14:textId="77777777" w:rsidR="009F48AE" w:rsidRDefault="00000000">
      <w:pPr>
        <w:pStyle w:val="LO-normal"/>
        <w:jc w:val="both"/>
        <w:rPr>
          <w:rFonts w:ascii="Arial" w:eastAsia="Arial" w:hAnsi="Arial"/>
          <w:color w:val="000000"/>
          <w:sz w:val="22"/>
          <w:szCs w:val="22"/>
        </w:rPr>
      </w:pPr>
      <w:r w:rsidRPr="006E3145">
        <w:rPr>
          <w:rFonts w:ascii="Arial" w:eastAsia="Arial" w:hAnsi="Arial"/>
          <w:sz w:val="22"/>
          <w:szCs w:val="22"/>
          <w:lang w:val="en-US"/>
        </w:rPr>
        <w:t>MARKEY, B.; LEONARD, F; ARCHAMBAULT; M.CULLINANE, A.; MAGUIRE, D</w:t>
      </w:r>
      <w:r w:rsidRPr="006E3145">
        <w:rPr>
          <w:rFonts w:ascii="Arial" w:eastAsia="Arial" w:hAnsi="Arial"/>
          <w:color w:val="000000"/>
          <w:sz w:val="22"/>
          <w:szCs w:val="22"/>
          <w:lang w:val="en-US"/>
        </w:rPr>
        <w:t>. </w:t>
      </w:r>
      <w:r w:rsidRPr="006E3145">
        <w:rPr>
          <w:rFonts w:ascii="Arial" w:eastAsia="Arial" w:hAnsi="Arial"/>
          <w:b/>
          <w:color w:val="000000"/>
          <w:sz w:val="22"/>
          <w:szCs w:val="22"/>
          <w:lang w:val="en-US"/>
        </w:rPr>
        <w:t>Clinical Veterinary Microbiology. </w:t>
      </w:r>
      <w:r>
        <w:rPr>
          <w:rFonts w:ascii="Arial" w:eastAsia="Arial" w:hAnsi="Arial"/>
          <w:color w:val="000000"/>
          <w:sz w:val="22"/>
          <w:szCs w:val="22"/>
        </w:rPr>
        <w:t xml:space="preserve">2. ed. Edinburgh: Elsevier Health </w:t>
      </w:r>
      <w:proofErr w:type="spellStart"/>
      <w:r>
        <w:rPr>
          <w:rFonts w:ascii="Arial" w:eastAsia="Arial" w:hAnsi="Arial"/>
          <w:color w:val="000000"/>
          <w:sz w:val="22"/>
          <w:szCs w:val="22"/>
        </w:rPr>
        <w:t>Scie</w:t>
      </w:r>
      <w:proofErr w:type="spellEnd"/>
      <w:r>
        <w:rPr>
          <w:rFonts w:ascii="Arial" w:eastAsia="Arial" w:hAnsi="Arial"/>
          <w:color w:val="000000"/>
          <w:sz w:val="22"/>
          <w:szCs w:val="22"/>
        </w:rPr>
        <w:t>, 2013. 901p </w:t>
      </w:r>
    </w:p>
    <w:p w14:paraId="0A5157E6" w14:textId="77777777" w:rsidR="009F48AE" w:rsidRDefault="009F48AE">
      <w:pPr>
        <w:pStyle w:val="LO-normal"/>
        <w:jc w:val="both"/>
        <w:rPr>
          <w:rFonts w:ascii="Arial" w:eastAsia="Arial" w:hAnsi="Arial"/>
          <w:color w:val="000000"/>
          <w:sz w:val="22"/>
          <w:szCs w:val="22"/>
        </w:rPr>
      </w:pPr>
    </w:p>
    <w:p w14:paraId="0A5157E7" w14:textId="77777777" w:rsidR="009F48AE" w:rsidRDefault="00000000">
      <w:pPr>
        <w:pStyle w:val="LO-normal"/>
        <w:jc w:val="both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PIANTA, C. Diarreia Neonatal de Origem Bacteriana em Bovinos – Revisão bibliográfica. Ciência Rural, Santa Maria, v. 23, n. 1, p.107-115, 1993. </w:t>
      </w:r>
    </w:p>
    <w:p w14:paraId="0A5157E8" w14:textId="77777777" w:rsidR="009F48AE" w:rsidRDefault="009F48AE">
      <w:pPr>
        <w:pStyle w:val="LO-normal"/>
        <w:ind w:right="284"/>
        <w:jc w:val="both"/>
        <w:rPr>
          <w:rFonts w:ascii="Cambria" w:eastAsia="Cambria" w:hAnsi="Cambria" w:cs="Cambria"/>
          <w:color w:val="00000A"/>
        </w:rPr>
      </w:pPr>
    </w:p>
    <w:sectPr w:rsidR="009F48AE">
      <w:pgSz w:w="11906" w:h="16838"/>
      <w:pgMar w:top="1418" w:right="1418" w:bottom="1418" w:left="1418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AE"/>
    <w:rsid w:val="003E2E6D"/>
    <w:rsid w:val="006E3145"/>
    <w:rsid w:val="009F48AE"/>
    <w:rsid w:val="00CA6070"/>
    <w:rsid w:val="00FB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57C4"/>
  <w15:docId w15:val="{35883CC0-4C63-4C52-AAE2-81077F46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umeraodelinhas">
    <w:name w:val="Numeração de linhas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3E2E6D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1532</Words>
  <Characters>8274</Characters>
  <Application>Microsoft Office Word</Application>
  <DocSecurity>0</DocSecurity>
  <Lines>68</Lines>
  <Paragraphs>19</Paragraphs>
  <ScaleCrop>false</ScaleCrop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Cláudia Balzan</cp:lastModifiedBy>
  <cp:revision>5</cp:revision>
  <dcterms:created xsi:type="dcterms:W3CDTF">2023-10-24T10:33:00Z</dcterms:created>
  <dcterms:modified xsi:type="dcterms:W3CDTF">2023-10-25T16:21:00Z</dcterms:modified>
  <dc:language>pt-BR</dc:language>
</cp:coreProperties>
</file>