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4854" w:rsidRDefault="00000000">
      <w:pPr>
        <w:pBdr>
          <w:top w:val="nil"/>
          <w:left w:val="nil"/>
          <w:bottom w:val="nil"/>
          <w:right w:val="nil"/>
          <w:between w:val="nil"/>
        </w:pBdr>
        <w:ind w:right="284"/>
        <w:jc w:val="center"/>
        <w:rPr>
          <w:rFonts w:ascii="Arial" w:eastAsia="Arial" w:hAnsi="Arial" w:cs="Arial"/>
          <w:color w:val="000000"/>
          <w:sz w:val="22"/>
          <w:szCs w:val="22"/>
        </w:rPr>
      </w:pPr>
      <w:r>
        <w:rPr>
          <w:rFonts w:ascii="Arial" w:eastAsia="Arial" w:hAnsi="Arial" w:cs="Arial"/>
          <w:b/>
          <w:color w:val="000000"/>
          <w:sz w:val="28"/>
          <w:szCs w:val="28"/>
        </w:rPr>
        <w:t>EFEITOS DO USO ESTRATÉGICO DE HERBICIDA EM PASTAGEM DE TIFTON 85</w:t>
      </w:r>
    </w:p>
    <w:p w14:paraId="00000002" w14:textId="77777777" w:rsidR="00F54854" w:rsidRDefault="00F54854">
      <w:pPr>
        <w:pBdr>
          <w:top w:val="nil"/>
          <w:left w:val="nil"/>
          <w:bottom w:val="nil"/>
          <w:right w:val="nil"/>
          <w:between w:val="nil"/>
        </w:pBdr>
        <w:ind w:right="284"/>
        <w:jc w:val="center"/>
        <w:rPr>
          <w:rFonts w:ascii="Arial" w:eastAsia="Arial" w:hAnsi="Arial" w:cs="Arial"/>
          <w:color w:val="000000"/>
          <w:sz w:val="20"/>
          <w:szCs w:val="20"/>
        </w:rPr>
      </w:pPr>
    </w:p>
    <w:p w14:paraId="14101587" w14:textId="77777777" w:rsidR="00840E8F" w:rsidRPr="00B07072" w:rsidRDefault="00840E8F" w:rsidP="00840E8F">
      <w:pPr>
        <w:pStyle w:val="LO-normal"/>
        <w:ind w:right="284"/>
        <w:jc w:val="center"/>
        <w:rPr>
          <w:rFonts w:ascii="Arial" w:eastAsia="Arial" w:hAnsi="Arial" w:cs="Arial"/>
          <w:color w:val="000000"/>
          <w:sz w:val="20"/>
          <w:szCs w:val="20"/>
          <w:u w:color="000000"/>
          <w:lang w:val="pt-BR"/>
        </w:rPr>
      </w:pPr>
      <w:r>
        <w:rPr>
          <w:rFonts w:ascii="Arial" w:hAnsi="Arial"/>
          <w:color w:val="000000"/>
          <w:sz w:val="20"/>
          <w:szCs w:val="20"/>
          <w:u w:color="000000"/>
          <w:lang w:val="pt-BR"/>
        </w:rPr>
        <w:t xml:space="preserve">Bruno Gustavo </w:t>
      </w:r>
      <w:proofErr w:type="spellStart"/>
      <w:r>
        <w:rPr>
          <w:rFonts w:ascii="Arial" w:hAnsi="Arial"/>
          <w:color w:val="000000"/>
          <w:sz w:val="20"/>
          <w:szCs w:val="20"/>
          <w:u w:color="000000"/>
          <w:lang w:val="pt-BR"/>
        </w:rPr>
        <w:t>Zilli</w:t>
      </w:r>
      <w:proofErr w:type="spellEnd"/>
      <w:r>
        <w:rPr>
          <w:rFonts w:ascii="Arial" w:hAnsi="Arial"/>
          <w:color w:val="000000"/>
          <w:sz w:val="20"/>
          <w:szCs w:val="20"/>
          <w:u w:color="000000"/>
          <w:lang w:val="pt-BR"/>
        </w:rPr>
        <w:t xml:space="preserve"> Zardo</w:t>
      </w:r>
      <w:r w:rsidRPr="00B07072">
        <w:rPr>
          <w:rFonts w:ascii="Arial" w:hAnsi="Arial"/>
          <w:color w:val="000000"/>
          <w:sz w:val="20"/>
          <w:szCs w:val="20"/>
          <w:u w:color="000000"/>
          <w:vertAlign w:val="superscript"/>
          <w:lang w:val="pt-BR"/>
        </w:rPr>
        <w:t>1</w:t>
      </w:r>
      <w:r w:rsidRPr="00B07072">
        <w:rPr>
          <w:rFonts w:ascii="Arial" w:hAnsi="Arial"/>
          <w:color w:val="000000"/>
          <w:sz w:val="20"/>
          <w:szCs w:val="20"/>
          <w:u w:color="000000"/>
          <w:lang w:val="pt-BR"/>
        </w:rPr>
        <w:t xml:space="preserve">, </w:t>
      </w:r>
      <w:r>
        <w:rPr>
          <w:rFonts w:ascii="Arial" w:hAnsi="Arial"/>
          <w:color w:val="000000"/>
          <w:sz w:val="20"/>
          <w:szCs w:val="20"/>
          <w:u w:color="000000"/>
          <w:lang w:val="pt-BR"/>
        </w:rPr>
        <w:t>Gustavo Krahl</w:t>
      </w:r>
      <w:r>
        <w:rPr>
          <w:rFonts w:ascii="Arial" w:hAnsi="Arial"/>
          <w:color w:val="000000"/>
          <w:sz w:val="20"/>
          <w:szCs w:val="20"/>
          <w:u w:color="000000"/>
          <w:vertAlign w:val="superscript"/>
          <w:lang w:val="pt-BR"/>
        </w:rPr>
        <w:t>2</w:t>
      </w:r>
      <w:r>
        <w:rPr>
          <w:rFonts w:ascii="Arial" w:hAnsi="Arial"/>
          <w:color w:val="000000"/>
          <w:sz w:val="20"/>
          <w:szCs w:val="20"/>
          <w:u w:color="000000"/>
          <w:lang w:val="pt-BR"/>
        </w:rPr>
        <w:t xml:space="preserve">, </w:t>
      </w:r>
      <w:r w:rsidRPr="00B07072">
        <w:rPr>
          <w:rFonts w:ascii="Arial" w:hAnsi="Arial"/>
          <w:color w:val="000000"/>
          <w:sz w:val="20"/>
          <w:szCs w:val="20"/>
          <w:u w:val="single" w:color="000000"/>
          <w:lang w:val="pt-BR"/>
        </w:rPr>
        <w:t>Daniel Augusto Barreta</w:t>
      </w:r>
      <w:r w:rsidRPr="00B07072">
        <w:rPr>
          <w:rFonts w:ascii="Arial" w:hAnsi="Arial"/>
          <w:color w:val="000000"/>
          <w:sz w:val="20"/>
          <w:szCs w:val="20"/>
          <w:u w:color="000000"/>
          <w:vertAlign w:val="superscript"/>
          <w:lang w:val="pt-BR"/>
        </w:rPr>
        <w:t>1</w:t>
      </w:r>
    </w:p>
    <w:p w14:paraId="4816991C" w14:textId="77777777" w:rsidR="00840E8F" w:rsidRPr="00644A65" w:rsidRDefault="00840E8F" w:rsidP="00840E8F">
      <w:pPr>
        <w:pStyle w:val="LO-normal"/>
        <w:ind w:right="284"/>
        <w:jc w:val="center"/>
        <w:rPr>
          <w:rFonts w:ascii="Arial" w:eastAsia="Arial" w:hAnsi="Arial" w:cs="Arial"/>
          <w:color w:val="000000"/>
          <w:sz w:val="20"/>
          <w:szCs w:val="20"/>
          <w:u w:color="000000"/>
          <w:lang w:val="pt-BR"/>
        </w:rPr>
      </w:pPr>
    </w:p>
    <w:p w14:paraId="25FCA270" w14:textId="77777777" w:rsidR="00840E8F" w:rsidRPr="00B07072" w:rsidRDefault="00840E8F" w:rsidP="00840E8F">
      <w:pPr>
        <w:pStyle w:val="LO-normal"/>
        <w:ind w:right="284"/>
        <w:jc w:val="center"/>
        <w:rPr>
          <w:rFonts w:ascii="Arial" w:eastAsia="Arial" w:hAnsi="Arial" w:cs="Arial"/>
          <w:color w:val="000000"/>
          <w:sz w:val="20"/>
          <w:szCs w:val="20"/>
          <w:u w:color="000000"/>
          <w:lang w:val="pt-BR"/>
        </w:rPr>
      </w:pPr>
      <w:r w:rsidRPr="009E26BE">
        <w:rPr>
          <w:rFonts w:ascii="Arial" w:hAnsi="Arial"/>
          <w:color w:val="000000"/>
          <w:sz w:val="20"/>
          <w:szCs w:val="20"/>
          <w:u w:color="000000"/>
          <w:vertAlign w:val="superscript"/>
          <w:lang w:val="pt-BR"/>
        </w:rPr>
        <w:t xml:space="preserve">1 </w:t>
      </w:r>
      <w:r w:rsidRPr="009E26BE">
        <w:rPr>
          <w:rFonts w:ascii="Arial" w:hAnsi="Arial"/>
          <w:color w:val="000000"/>
          <w:sz w:val="20"/>
          <w:szCs w:val="20"/>
          <w:u w:color="000000"/>
          <w:lang w:val="pt-BR"/>
        </w:rPr>
        <w:t xml:space="preserve">Universidade do Oeste de Santa Catarina – UNOESC, Xanxerê-SC, </w:t>
      </w:r>
      <w:r w:rsidRPr="009E26BE">
        <w:rPr>
          <w:rFonts w:ascii="Arial" w:hAnsi="Arial"/>
          <w:color w:val="000000"/>
          <w:sz w:val="20"/>
          <w:szCs w:val="20"/>
          <w:u w:color="000000"/>
          <w:vertAlign w:val="superscript"/>
          <w:lang w:val="pt-BR"/>
        </w:rPr>
        <w:t xml:space="preserve">2 </w:t>
      </w:r>
      <w:proofErr w:type="spellStart"/>
      <w:r w:rsidRPr="009E26BE">
        <w:rPr>
          <w:rFonts w:ascii="Arial" w:hAnsi="Arial"/>
          <w:color w:val="000000"/>
          <w:sz w:val="20"/>
          <w:szCs w:val="20"/>
          <w:u w:color="000000"/>
          <w:lang w:val="pt-BR"/>
        </w:rPr>
        <w:t>Vitamix</w:t>
      </w:r>
      <w:proofErr w:type="spellEnd"/>
      <w:r w:rsidRPr="009E26BE">
        <w:rPr>
          <w:rFonts w:ascii="Arial" w:hAnsi="Arial"/>
          <w:color w:val="000000"/>
          <w:sz w:val="20"/>
          <w:szCs w:val="20"/>
          <w:u w:color="000000"/>
          <w:lang w:val="pt-BR"/>
        </w:rPr>
        <w:t xml:space="preserve"> Nutrição Animal, Nova Itaberaba-SC, E-mail: </w:t>
      </w:r>
      <w:hyperlink r:id="rId7" w:history="1">
        <w:r w:rsidRPr="009E26BE">
          <w:rPr>
            <w:rStyle w:val="Hyperlink"/>
            <w:rFonts w:ascii="Arial" w:hAnsi="Arial"/>
            <w:sz w:val="20"/>
            <w:szCs w:val="20"/>
            <w:lang w:val="pt-BR"/>
          </w:rPr>
          <w:t>da.barreta@unoesc.edu.br</w:t>
        </w:r>
      </w:hyperlink>
    </w:p>
    <w:p w14:paraId="00000004" w14:textId="77777777" w:rsidR="00F54854" w:rsidRDefault="00F54854">
      <w:pPr>
        <w:pBdr>
          <w:top w:val="nil"/>
          <w:left w:val="nil"/>
          <w:bottom w:val="nil"/>
          <w:right w:val="nil"/>
          <w:between w:val="nil"/>
        </w:pBdr>
        <w:ind w:right="284"/>
        <w:rPr>
          <w:rFonts w:ascii="Arial" w:eastAsia="Arial" w:hAnsi="Arial" w:cs="Arial"/>
          <w:color w:val="000000"/>
          <w:sz w:val="22"/>
          <w:szCs w:val="22"/>
        </w:rPr>
      </w:pPr>
    </w:p>
    <w:p w14:paraId="00000005" w14:textId="77777777" w:rsidR="00F54854" w:rsidRDefault="00000000">
      <w:pPr>
        <w:pBdr>
          <w:top w:val="nil"/>
          <w:left w:val="nil"/>
          <w:bottom w:val="nil"/>
          <w:right w:val="nil"/>
          <w:between w:val="nil"/>
        </w:pBdr>
        <w:jc w:val="both"/>
        <w:rPr>
          <w:rFonts w:ascii="Arial" w:eastAsia="Arial" w:hAnsi="Arial" w:cs="Arial"/>
          <w:color w:val="00000A"/>
          <w:sz w:val="22"/>
          <w:szCs w:val="22"/>
        </w:rPr>
      </w:pPr>
      <w:r>
        <w:rPr>
          <w:rFonts w:ascii="Arial" w:eastAsia="Arial" w:hAnsi="Arial" w:cs="Arial"/>
          <w:b/>
          <w:color w:val="000000"/>
          <w:sz w:val="22"/>
          <w:szCs w:val="22"/>
        </w:rPr>
        <w:t>Contribuição para a sociedade</w:t>
      </w:r>
      <w:r>
        <w:rPr>
          <w:rFonts w:ascii="Arial" w:eastAsia="Arial" w:hAnsi="Arial" w:cs="Arial"/>
          <w:color w:val="000000"/>
          <w:sz w:val="22"/>
          <w:szCs w:val="22"/>
        </w:rPr>
        <w:t>:</w:t>
      </w:r>
      <w:r>
        <w:rPr>
          <w:rFonts w:ascii="Arial" w:eastAsia="Arial" w:hAnsi="Arial" w:cs="Arial"/>
          <w:color w:val="00000A"/>
          <w:sz w:val="22"/>
          <w:szCs w:val="22"/>
        </w:rPr>
        <w:t xml:space="preserve"> O experimento oferece informações práticas quanto ao uso estratégico do herbicida glifosato em pastagens de Tifton 85. A aplicação durante a estação fria de doses até 25% da dosagem recomendada para dessecação do gênero </w:t>
      </w:r>
      <w:r>
        <w:rPr>
          <w:rFonts w:ascii="Arial" w:eastAsia="Arial" w:hAnsi="Arial" w:cs="Arial"/>
          <w:i/>
          <w:color w:val="00000A"/>
          <w:sz w:val="22"/>
          <w:szCs w:val="22"/>
        </w:rPr>
        <w:t>Cynodon</w:t>
      </w:r>
      <w:r>
        <w:rPr>
          <w:rFonts w:ascii="Arial" w:eastAsia="Arial" w:hAnsi="Arial" w:cs="Arial"/>
          <w:color w:val="00000A"/>
          <w:sz w:val="22"/>
          <w:szCs w:val="22"/>
        </w:rPr>
        <w:t xml:space="preserve"> cresta as plantas de Tifton </w:t>
      </w:r>
      <w:proofErr w:type="gramStart"/>
      <w:r>
        <w:rPr>
          <w:rFonts w:ascii="Arial" w:eastAsia="Arial" w:hAnsi="Arial" w:cs="Arial"/>
          <w:color w:val="00000A"/>
          <w:sz w:val="22"/>
          <w:szCs w:val="22"/>
        </w:rPr>
        <w:t>85</w:t>
      </w:r>
      <w:proofErr w:type="gramEnd"/>
      <w:r>
        <w:rPr>
          <w:rFonts w:ascii="Arial" w:eastAsia="Arial" w:hAnsi="Arial" w:cs="Arial"/>
          <w:color w:val="00000A"/>
          <w:sz w:val="22"/>
          <w:szCs w:val="22"/>
        </w:rPr>
        <w:t xml:space="preserve"> mas não compromete o rebrote e a incidência de plantas invasoras na área. A aplicação de </w:t>
      </w:r>
      <w:proofErr w:type="spellStart"/>
      <w:r>
        <w:rPr>
          <w:rFonts w:ascii="Arial" w:eastAsia="Arial" w:hAnsi="Arial" w:cs="Arial"/>
          <w:color w:val="00000A"/>
          <w:sz w:val="22"/>
          <w:szCs w:val="22"/>
        </w:rPr>
        <w:t>subdoses</w:t>
      </w:r>
      <w:proofErr w:type="spellEnd"/>
      <w:r>
        <w:rPr>
          <w:rFonts w:ascii="Arial" w:eastAsia="Arial" w:hAnsi="Arial" w:cs="Arial"/>
          <w:color w:val="00000A"/>
          <w:sz w:val="22"/>
          <w:szCs w:val="22"/>
        </w:rPr>
        <w:t xml:space="preserve"> pode ser útil em situações como a ausência de ocorrência de geada durante a estação fria no Sul do Brasil, tal prática pode ser relevante para otimizar a implantação e estabelecimento das culturas de inverno. O uso estratégico do herbicida glifosato pode ser uma ferramenta para otimizar a disponibilidade de forragem ao longo do ano. </w:t>
      </w:r>
    </w:p>
    <w:p w14:paraId="00000006" w14:textId="77777777" w:rsidR="00F54854" w:rsidRDefault="00000000">
      <w:pPr>
        <w:pBdr>
          <w:top w:val="nil"/>
          <w:left w:val="nil"/>
          <w:bottom w:val="nil"/>
          <w:right w:val="nil"/>
          <w:between w:val="nil"/>
        </w:pBdr>
        <w:jc w:val="both"/>
        <w:rPr>
          <w:rFonts w:ascii="Cambria" w:eastAsia="Cambria" w:hAnsi="Cambria" w:cs="Cambria"/>
          <w:color w:val="00000A"/>
        </w:rPr>
      </w:pPr>
      <w:r>
        <w:rPr>
          <w:rFonts w:ascii="Arial" w:eastAsia="Arial" w:hAnsi="Arial" w:cs="Arial"/>
          <w:b/>
          <w:color w:val="000000"/>
          <w:sz w:val="22"/>
          <w:szCs w:val="22"/>
        </w:rPr>
        <w:t>Palavras-chave</w:t>
      </w:r>
      <w:r>
        <w:rPr>
          <w:rFonts w:ascii="Arial" w:eastAsia="Arial" w:hAnsi="Arial" w:cs="Arial"/>
          <w:color w:val="000000"/>
          <w:sz w:val="22"/>
          <w:szCs w:val="22"/>
        </w:rPr>
        <w:t xml:space="preserve">: glifosato, </w:t>
      </w:r>
      <w:proofErr w:type="spellStart"/>
      <w:r>
        <w:rPr>
          <w:rFonts w:ascii="Arial" w:eastAsia="Arial" w:hAnsi="Arial" w:cs="Arial"/>
          <w:color w:val="000000"/>
          <w:sz w:val="22"/>
          <w:szCs w:val="22"/>
        </w:rPr>
        <w:t>sobressemeadura</w:t>
      </w:r>
      <w:proofErr w:type="spellEnd"/>
      <w:r>
        <w:rPr>
          <w:rFonts w:ascii="Arial" w:eastAsia="Arial" w:hAnsi="Arial" w:cs="Arial"/>
          <w:color w:val="000000"/>
          <w:sz w:val="22"/>
          <w:szCs w:val="22"/>
        </w:rPr>
        <w:t>, vazio forrageiro.</w:t>
      </w:r>
      <w:r>
        <w:rPr>
          <w:rFonts w:ascii="Cambria" w:eastAsia="Cambria" w:hAnsi="Cambria" w:cs="Cambria"/>
          <w:color w:val="00000A"/>
        </w:rPr>
        <w:t xml:space="preserve"> </w:t>
      </w:r>
    </w:p>
    <w:p w14:paraId="00000007" w14:textId="77777777" w:rsidR="00F54854" w:rsidRDefault="00F54854">
      <w:pPr>
        <w:pBdr>
          <w:top w:val="nil"/>
          <w:left w:val="nil"/>
          <w:bottom w:val="nil"/>
          <w:right w:val="nil"/>
          <w:between w:val="nil"/>
        </w:pBdr>
        <w:jc w:val="both"/>
        <w:rPr>
          <w:rFonts w:ascii="Arial" w:eastAsia="Arial" w:hAnsi="Arial" w:cs="Arial"/>
          <w:color w:val="000000"/>
          <w:sz w:val="22"/>
          <w:szCs w:val="22"/>
        </w:rPr>
      </w:pPr>
    </w:p>
    <w:p w14:paraId="00000008" w14:textId="77777777" w:rsidR="00F54854"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Introdução:</w:t>
      </w:r>
      <w:r>
        <w:rPr>
          <w:rFonts w:ascii="Arial" w:eastAsia="Arial" w:hAnsi="Arial" w:cs="Arial"/>
          <w:color w:val="000000"/>
          <w:sz w:val="22"/>
          <w:szCs w:val="22"/>
        </w:rPr>
        <w:t xml:space="preserve"> O Sul do Brasil está majoritariamente sobre a influência de um clima subtropical, em que a temperatura apresenta considerável variação ao longo do ano. Este cenário faz com que a estação fria apresente adversidades climáticas como as geadas, que limitam a produção de espécies perenes de verão, principalmente nos meses de maio a setembro, o que exige que os produtores lancem mão de opções forrageiras de inverno para atenuar o vazio forrageiro (SBRISSIA et al., 2017). A </w:t>
      </w:r>
      <w:proofErr w:type="spellStart"/>
      <w:r>
        <w:rPr>
          <w:rFonts w:ascii="Arial" w:eastAsia="Arial" w:hAnsi="Arial" w:cs="Arial"/>
          <w:color w:val="000000"/>
          <w:sz w:val="22"/>
          <w:szCs w:val="22"/>
        </w:rPr>
        <w:t>sobressemeadura</w:t>
      </w:r>
      <w:proofErr w:type="spellEnd"/>
      <w:r>
        <w:rPr>
          <w:rFonts w:ascii="Arial" w:eastAsia="Arial" w:hAnsi="Arial" w:cs="Arial"/>
          <w:color w:val="000000"/>
          <w:sz w:val="22"/>
          <w:szCs w:val="22"/>
        </w:rPr>
        <w:t xml:space="preserve"> de espécies hibernais sobre a pastagem estival é uma prática comum nos sistemas pecuários no Sul do Brasil e o sucesso desta prática passa impreterivelmente pelo bom estabelecimento das culturas de inverno (SCHMIDT et al., 2022). Contudo, a ocorrência de períodos (semanas) de clima ameno durante o inverno pode favorecer o crescimento das cultivares perenes de verão, e comprometer o estabelecimento das pastagens de inverno, como a aveia e o </w:t>
      </w:r>
      <w:proofErr w:type="spellStart"/>
      <w:r>
        <w:rPr>
          <w:rFonts w:ascii="Arial" w:eastAsia="Arial" w:hAnsi="Arial" w:cs="Arial"/>
          <w:color w:val="000000"/>
          <w:sz w:val="22"/>
          <w:szCs w:val="22"/>
        </w:rPr>
        <w:t>azevém</w:t>
      </w:r>
      <w:proofErr w:type="spellEnd"/>
      <w:r>
        <w:rPr>
          <w:rFonts w:ascii="Arial" w:eastAsia="Arial" w:hAnsi="Arial" w:cs="Arial"/>
          <w:color w:val="000000"/>
          <w:sz w:val="22"/>
          <w:szCs w:val="22"/>
        </w:rPr>
        <w:t xml:space="preserve">. Neste sentido, </w:t>
      </w:r>
      <w:proofErr w:type="spellStart"/>
      <w:r>
        <w:rPr>
          <w:rFonts w:ascii="Arial" w:eastAsia="Arial" w:hAnsi="Arial" w:cs="Arial"/>
          <w:color w:val="000000"/>
          <w:sz w:val="22"/>
          <w:szCs w:val="22"/>
        </w:rPr>
        <w:t>Marçallo</w:t>
      </w:r>
      <w:proofErr w:type="spellEnd"/>
      <w:r>
        <w:rPr>
          <w:rFonts w:ascii="Arial" w:eastAsia="Arial" w:hAnsi="Arial" w:cs="Arial"/>
          <w:color w:val="000000"/>
          <w:sz w:val="22"/>
          <w:szCs w:val="22"/>
        </w:rPr>
        <w:t xml:space="preserve"> et al. (2006) destacaram que o uso de herbicidas pode ser uma alternativa para limitar o crescimento das espécies C4, o que poderia facilitar a emergência, desenvolvimento e o pleno estabelecimento das espécies introduzidas, assim como possibilitar um adiantamento estratégico da </w:t>
      </w:r>
      <w:proofErr w:type="spellStart"/>
      <w:r>
        <w:rPr>
          <w:rFonts w:ascii="Arial" w:eastAsia="Arial" w:hAnsi="Arial" w:cs="Arial"/>
          <w:color w:val="000000"/>
          <w:sz w:val="22"/>
          <w:szCs w:val="22"/>
        </w:rPr>
        <w:t>sobressemeadura</w:t>
      </w:r>
      <w:proofErr w:type="spellEnd"/>
      <w:r>
        <w:rPr>
          <w:rFonts w:ascii="Arial" w:eastAsia="Arial" w:hAnsi="Arial" w:cs="Arial"/>
          <w:color w:val="000000"/>
          <w:sz w:val="22"/>
          <w:szCs w:val="22"/>
        </w:rPr>
        <w:t>. Apesar disso, são escassos dados na literatura que avaliaram o efeito da aplicação de diferentes doses de herbicidas em pastos perenes C4 nos períodos de inverno.</w:t>
      </w:r>
    </w:p>
    <w:p w14:paraId="00000009" w14:textId="77777777" w:rsidR="00F54854"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 objetivo deste trabalho foi determinar uma dose de herbicida que limite o desenvolvimento do Tifton 85 (</w:t>
      </w:r>
      <w:r>
        <w:rPr>
          <w:rFonts w:ascii="Arial" w:eastAsia="Arial" w:hAnsi="Arial" w:cs="Arial"/>
          <w:i/>
          <w:color w:val="000000"/>
          <w:sz w:val="22"/>
          <w:szCs w:val="22"/>
        </w:rPr>
        <w:t>Cynodon</w:t>
      </w:r>
      <w:r>
        <w:rPr>
          <w:rFonts w:ascii="Arial" w:eastAsia="Arial" w:hAnsi="Arial" w:cs="Arial"/>
          <w:color w:val="000000"/>
          <w:sz w:val="22"/>
          <w:szCs w:val="22"/>
        </w:rPr>
        <w:t xml:space="preserve"> spp.) durante o inverno, sem comprometer a retomada do desenvolvimento na primavera seguinte.</w:t>
      </w:r>
    </w:p>
    <w:p w14:paraId="0000000A" w14:textId="77777777" w:rsidR="00F54854" w:rsidRDefault="00F54854">
      <w:pPr>
        <w:pBdr>
          <w:top w:val="nil"/>
          <w:left w:val="nil"/>
          <w:bottom w:val="nil"/>
          <w:right w:val="nil"/>
          <w:between w:val="nil"/>
        </w:pBdr>
        <w:jc w:val="both"/>
        <w:rPr>
          <w:rFonts w:ascii="Arial" w:eastAsia="Arial" w:hAnsi="Arial" w:cs="Arial"/>
          <w:color w:val="000000"/>
          <w:sz w:val="22"/>
          <w:szCs w:val="22"/>
        </w:rPr>
      </w:pPr>
    </w:p>
    <w:p w14:paraId="0000000B" w14:textId="1A00B300" w:rsidR="00F54854" w:rsidRDefault="00000000" w:rsidP="00894DDC">
      <w:pPr>
        <w:jc w:val="both"/>
        <w:rPr>
          <w:rFonts w:ascii="Arial" w:eastAsia="Arial" w:hAnsi="Arial" w:cs="Arial"/>
          <w:color w:val="000000"/>
          <w:sz w:val="22"/>
          <w:szCs w:val="22"/>
        </w:rPr>
      </w:pPr>
      <w:bookmarkStart w:id="0" w:name="_heading=h.gjdgxs" w:colFirst="0" w:colLast="0"/>
      <w:bookmarkEnd w:id="0"/>
      <w:r>
        <w:rPr>
          <w:rFonts w:ascii="Arial" w:eastAsia="Arial" w:hAnsi="Arial" w:cs="Arial"/>
          <w:b/>
          <w:color w:val="000000"/>
          <w:sz w:val="22"/>
          <w:szCs w:val="22"/>
        </w:rPr>
        <w:t>Material e métodos:</w:t>
      </w:r>
      <w:r>
        <w:rPr>
          <w:rFonts w:ascii="Arial" w:eastAsia="Arial" w:hAnsi="Arial" w:cs="Arial"/>
          <w:color w:val="000000"/>
          <w:sz w:val="22"/>
          <w:szCs w:val="22"/>
        </w:rPr>
        <w:t xml:space="preserve"> O experimento foi realizado na </w:t>
      </w:r>
      <w:sdt>
        <w:sdtPr>
          <w:tag w:val="goog_rdk_0"/>
          <w:id w:val="923613050"/>
        </w:sdtPr>
        <w:sdtContent/>
      </w:sdt>
      <w:r>
        <w:rPr>
          <w:rFonts w:ascii="Arial" w:eastAsia="Arial" w:hAnsi="Arial" w:cs="Arial"/>
          <w:color w:val="000000"/>
          <w:sz w:val="22"/>
          <w:szCs w:val="22"/>
        </w:rPr>
        <w:t>Escola Agrícola La Salle em Xanxerê/SC</w:t>
      </w:r>
      <w:r w:rsidR="00894DDC">
        <w:rPr>
          <w:rFonts w:ascii="Arial" w:eastAsia="Arial" w:hAnsi="Arial" w:cs="Arial"/>
          <w:color w:val="000000"/>
          <w:sz w:val="22"/>
          <w:szCs w:val="22"/>
        </w:rPr>
        <w:t>, especificamente nas coo</w:t>
      </w:r>
      <w:r w:rsidR="00894DDC" w:rsidRPr="00894DDC">
        <w:rPr>
          <w:rFonts w:ascii="Arial" w:eastAsia="Arial" w:hAnsi="Arial" w:cs="Arial"/>
          <w:color w:val="000000"/>
          <w:sz w:val="22"/>
          <w:szCs w:val="22"/>
        </w:rPr>
        <w:t>rdenadas geográficas:</w:t>
      </w:r>
      <w:r w:rsidR="00894DDC">
        <w:rPr>
          <w:rFonts w:ascii="Arial" w:eastAsia="Arial" w:hAnsi="Arial" w:cs="Arial"/>
          <w:color w:val="000000"/>
          <w:sz w:val="22"/>
          <w:szCs w:val="22"/>
        </w:rPr>
        <w:t xml:space="preserve"> </w:t>
      </w:r>
      <w:r w:rsidR="00894DDC" w:rsidRPr="00894DDC">
        <w:rPr>
          <w:rFonts w:ascii="Arial" w:eastAsia="Arial" w:hAnsi="Arial" w:cs="Arial"/>
          <w:color w:val="000000"/>
          <w:sz w:val="22"/>
          <w:szCs w:val="22"/>
        </w:rPr>
        <w:t>26°48'09.9"S 52°24'02.1"W</w:t>
      </w:r>
      <w:r w:rsidR="00894DDC">
        <w:rPr>
          <w:rFonts w:ascii="Arial" w:eastAsia="Arial" w:hAnsi="Arial" w:cs="Arial"/>
          <w:color w:val="000000"/>
          <w:sz w:val="22"/>
          <w:szCs w:val="22"/>
        </w:rPr>
        <w:t>, com altitude média de 800m.</w:t>
      </w:r>
      <w:r>
        <w:rPr>
          <w:rFonts w:ascii="Arial" w:eastAsia="Arial" w:hAnsi="Arial" w:cs="Arial"/>
          <w:color w:val="000000"/>
          <w:sz w:val="22"/>
          <w:szCs w:val="22"/>
        </w:rPr>
        <w:t xml:space="preserve"> A região de estudo, segundo a classificação de </w:t>
      </w:r>
      <w:proofErr w:type="spellStart"/>
      <w:r>
        <w:rPr>
          <w:rFonts w:ascii="Arial" w:eastAsia="Arial" w:hAnsi="Arial" w:cs="Arial"/>
          <w:color w:val="000000"/>
          <w:sz w:val="22"/>
          <w:szCs w:val="22"/>
        </w:rPr>
        <w:t>Koppen</w:t>
      </w:r>
      <w:proofErr w:type="spellEnd"/>
      <w:r>
        <w:rPr>
          <w:rFonts w:ascii="Arial" w:eastAsia="Arial" w:hAnsi="Arial" w:cs="Arial"/>
          <w:color w:val="000000"/>
          <w:sz w:val="22"/>
          <w:szCs w:val="22"/>
        </w:rPr>
        <w:t xml:space="preserve">, é um local de transição entre os tipos climáticos </w:t>
      </w:r>
      <w:proofErr w:type="spellStart"/>
      <w:r>
        <w:rPr>
          <w:rFonts w:ascii="Arial" w:eastAsia="Arial" w:hAnsi="Arial" w:cs="Arial"/>
          <w:color w:val="000000"/>
          <w:sz w:val="22"/>
          <w:szCs w:val="22"/>
        </w:rPr>
        <w:t>Cfa</w:t>
      </w:r>
      <w:proofErr w:type="spellEnd"/>
      <w:r>
        <w:rPr>
          <w:rFonts w:ascii="Arial" w:eastAsia="Arial" w:hAnsi="Arial" w:cs="Arial"/>
          <w:color w:val="000000"/>
          <w:sz w:val="22"/>
          <w:szCs w:val="22"/>
        </w:rPr>
        <w:t xml:space="preserve"> e </w:t>
      </w:r>
      <w:proofErr w:type="spellStart"/>
      <w:r>
        <w:rPr>
          <w:rFonts w:ascii="Arial" w:eastAsia="Arial" w:hAnsi="Arial" w:cs="Arial"/>
          <w:color w:val="000000"/>
          <w:sz w:val="22"/>
          <w:szCs w:val="22"/>
        </w:rPr>
        <w:t>Cfb</w:t>
      </w:r>
      <w:proofErr w:type="spellEnd"/>
      <w:r>
        <w:rPr>
          <w:rFonts w:ascii="Arial" w:eastAsia="Arial" w:hAnsi="Arial" w:cs="Arial"/>
          <w:color w:val="000000"/>
          <w:sz w:val="22"/>
          <w:szCs w:val="22"/>
        </w:rPr>
        <w:t xml:space="preserve">. </w:t>
      </w:r>
      <w:sdt>
        <w:sdtPr>
          <w:tag w:val="goog_rdk_1"/>
          <w:id w:val="1895393579"/>
        </w:sdtPr>
        <w:sdtContent/>
      </w:sdt>
      <w:r>
        <w:rPr>
          <w:rFonts w:ascii="Arial" w:eastAsia="Arial" w:hAnsi="Arial" w:cs="Arial"/>
          <w:color w:val="000000"/>
          <w:sz w:val="22"/>
          <w:szCs w:val="22"/>
        </w:rPr>
        <w:t xml:space="preserve">A área experimental foi previamente estabelecida com a cultura do Tifton 85, manejada de maneira uniforme em pastejo rotacionado, com altura em </w:t>
      </w:r>
      <w:proofErr w:type="spellStart"/>
      <w:r>
        <w:rPr>
          <w:rFonts w:ascii="Arial" w:eastAsia="Arial" w:hAnsi="Arial" w:cs="Arial"/>
          <w:color w:val="000000"/>
          <w:sz w:val="22"/>
          <w:szCs w:val="22"/>
        </w:rPr>
        <w:t>pré</w:t>
      </w:r>
      <w:proofErr w:type="spellEnd"/>
      <w:r>
        <w:rPr>
          <w:rFonts w:ascii="Arial" w:eastAsia="Arial" w:hAnsi="Arial" w:cs="Arial"/>
          <w:color w:val="000000"/>
          <w:sz w:val="22"/>
          <w:szCs w:val="22"/>
        </w:rPr>
        <w:t>-pastejo de 20 cm e severidade de desfolhação de 50%. A área foi subdividida em 15 unidades experimentais de 4m</w:t>
      </w: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O delineamento experimental utilizado foi inteiramente </w:t>
      </w:r>
      <w:proofErr w:type="spellStart"/>
      <w:r>
        <w:rPr>
          <w:rFonts w:ascii="Arial" w:eastAsia="Arial" w:hAnsi="Arial" w:cs="Arial"/>
          <w:color w:val="000000"/>
          <w:sz w:val="22"/>
          <w:szCs w:val="22"/>
        </w:rPr>
        <w:t>casualizado</w:t>
      </w:r>
      <w:proofErr w:type="spellEnd"/>
      <w:r>
        <w:rPr>
          <w:rFonts w:ascii="Arial" w:eastAsia="Arial" w:hAnsi="Arial" w:cs="Arial"/>
          <w:color w:val="000000"/>
          <w:sz w:val="22"/>
          <w:szCs w:val="22"/>
        </w:rPr>
        <w:t xml:space="preserve"> com cinco tratamentos e três </w:t>
      </w:r>
      <w:sdt>
        <w:sdtPr>
          <w:tag w:val="goog_rdk_2"/>
          <w:id w:val="127682661"/>
        </w:sdtPr>
        <w:sdtContent/>
      </w:sdt>
      <w:r>
        <w:rPr>
          <w:rFonts w:ascii="Arial" w:eastAsia="Arial" w:hAnsi="Arial" w:cs="Arial"/>
          <w:color w:val="000000"/>
          <w:sz w:val="22"/>
          <w:szCs w:val="22"/>
        </w:rPr>
        <w:t xml:space="preserve">repetições. Os tratamentos compreenderam cinco dosagens do herbicida </w:t>
      </w:r>
      <w:proofErr w:type="spellStart"/>
      <w:r>
        <w:rPr>
          <w:rFonts w:ascii="Arial" w:eastAsia="Arial" w:hAnsi="Arial" w:cs="Arial"/>
          <w:color w:val="000000"/>
          <w:sz w:val="22"/>
          <w:szCs w:val="22"/>
        </w:rPr>
        <w:t>Roundup</w:t>
      </w:r>
      <w:proofErr w:type="spellEnd"/>
      <w:r>
        <w:rPr>
          <w:rFonts w:ascii="Arial" w:eastAsia="Arial" w:hAnsi="Arial" w:cs="Arial"/>
          <w:color w:val="000000"/>
          <w:sz w:val="22"/>
          <w:szCs w:val="22"/>
        </w:rPr>
        <w:t xml:space="preserve"> WG (N- (</w:t>
      </w:r>
      <w:proofErr w:type="spellStart"/>
      <w:r>
        <w:rPr>
          <w:rFonts w:ascii="Arial" w:eastAsia="Arial" w:hAnsi="Arial" w:cs="Arial"/>
          <w:color w:val="000000"/>
          <w:sz w:val="22"/>
          <w:szCs w:val="22"/>
        </w:rPr>
        <w:t>phosphonomethyl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glycine</w:t>
      </w:r>
      <w:proofErr w:type="spellEnd"/>
      <w:r>
        <w:rPr>
          <w:rFonts w:ascii="Arial" w:eastAsia="Arial" w:hAnsi="Arial" w:cs="Arial"/>
          <w:color w:val="000000"/>
          <w:sz w:val="22"/>
          <w:szCs w:val="22"/>
        </w:rPr>
        <w:t xml:space="preserve"> – Glifosato), de modo que a maior dose (100%) correspondeu àquela recomendada para dessecação da grama seda (</w:t>
      </w:r>
      <w:r>
        <w:rPr>
          <w:rFonts w:ascii="Arial" w:eastAsia="Arial" w:hAnsi="Arial" w:cs="Arial"/>
          <w:i/>
          <w:color w:val="000000"/>
          <w:sz w:val="22"/>
          <w:szCs w:val="22"/>
        </w:rPr>
        <w:t xml:space="preserve">Cynodon </w:t>
      </w:r>
      <w:proofErr w:type="spellStart"/>
      <w:r>
        <w:rPr>
          <w:rFonts w:ascii="Arial" w:eastAsia="Arial" w:hAnsi="Arial" w:cs="Arial"/>
          <w:i/>
          <w:color w:val="000000"/>
          <w:sz w:val="22"/>
          <w:szCs w:val="22"/>
        </w:rPr>
        <w:t>dactylon</w:t>
      </w:r>
      <w:proofErr w:type="spellEnd"/>
      <w:r>
        <w:rPr>
          <w:rFonts w:ascii="Arial" w:eastAsia="Arial" w:hAnsi="Arial" w:cs="Arial"/>
          <w:color w:val="000000"/>
          <w:sz w:val="22"/>
          <w:szCs w:val="22"/>
        </w:rPr>
        <w:t xml:space="preserve">) – 3,50 kg do produto comercial por hectare (2,773 g/ha de ingrediente ativo) – enquanto as demais doses/tratamentos corresponderam aos percentuais 75, 50, 25 e 0% da dose recomendada. A aplicação do herbicida, e por conseguinte, dos </w:t>
      </w:r>
      <w:r>
        <w:rPr>
          <w:rFonts w:ascii="Arial" w:eastAsia="Arial" w:hAnsi="Arial" w:cs="Arial"/>
          <w:color w:val="000000"/>
          <w:sz w:val="22"/>
          <w:szCs w:val="22"/>
        </w:rPr>
        <w:lastRenderedPageBreak/>
        <w:t xml:space="preserve">tratamentos ocorreu no dia 24 de maio de 2022. </w:t>
      </w:r>
      <w:r w:rsidR="00894DDC">
        <w:rPr>
          <w:rFonts w:ascii="Arial" w:eastAsia="Arial" w:hAnsi="Arial" w:cs="Arial"/>
          <w:color w:val="000000"/>
          <w:sz w:val="22"/>
          <w:szCs w:val="22"/>
        </w:rPr>
        <w:t xml:space="preserve">O procedimento foi </w:t>
      </w:r>
      <w:r w:rsidR="00894DDC" w:rsidRPr="00894DDC">
        <w:rPr>
          <w:rFonts w:ascii="Arial" w:eastAsia="Arial" w:hAnsi="Arial" w:cs="Arial"/>
          <w:color w:val="000000"/>
          <w:sz w:val="22"/>
          <w:szCs w:val="22"/>
        </w:rPr>
        <w:t>realizad</w:t>
      </w:r>
      <w:r w:rsidR="00894DDC">
        <w:rPr>
          <w:rFonts w:ascii="Arial" w:eastAsia="Arial" w:hAnsi="Arial" w:cs="Arial"/>
          <w:color w:val="000000"/>
          <w:sz w:val="22"/>
          <w:szCs w:val="22"/>
        </w:rPr>
        <w:t>o</w:t>
      </w:r>
      <w:r w:rsidR="00894DDC" w:rsidRPr="00894DDC">
        <w:rPr>
          <w:rFonts w:ascii="Arial" w:eastAsia="Arial" w:hAnsi="Arial" w:cs="Arial"/>
          <w:color w:val="000000"/>
          <w:sz w:val="22"/>
          <w:szCs w:val="22"/>
        </w:rPr>
        <w:t xml:space="preserve"> com pulverizador costal (20l) a bateria com vazão constante de 1.9 l /min</w:t>
      </w:r>
      <w:r w:rsidR="00894DDC">
        <w:rPr>
          <w:rFonts w:ascii="Arial" w:eastAsia="Arial" w:hAnsi="Arial" w:cs="Arial"/>
          <w:color w:val="000000"/>
          <w:sz w:val="22"/>
          <w:szCs w:val="22"/>
        </w:rPr>
        <w:t xml:space="preserve">, correspondente a </w:t>
      </w:r>
      <w:r w:rsidR="00894DDC" w:rsidRPr="00894DDC">
        <w:rPr>
          <w:rFonts w:ascii="Arial" w:eastAsia="Arial" w:hAnsi="Arial" w:cs="Arial"/>
          <w:color w:val="000000"/>
          <w:sz w:val="22"/>
          <w:szCs w:val="22"/>
        </w:rPr>
        <w:t xml:space="preserve">150 l/ </w:t>
      </w:r>
      <w:r w:rsidR="00894DDC">
        <w:rPr>
          <w:rFonts w:ascii="Arial" w:eastAsia="Arial" w:hAnsi="Arial" w:cs="Arial"/>
          <w:color w:val="000000"/>
          <w:sz w:val="22"/>
          <w:szCs w:val="22"/>
        </w:rPr>
        <w:t>h</w:t>
      </w:r>
      <w:r w:rsidR="00B75EE8">
        <w:rPr>
          <w:rFonts w:ascii="Arial" w:eastAsia="Arial" w:hAnsi="Arial" w:cs="Arial"/>
          <w:color w:val="000000"/>
          <w:sz w:val="22"/>
          <w:szCs w:val="22"/>
        </w:rPr>
        <w:t>a</w:t>
      </w:r>
      <w:r w:rsidR="00894DDC">
        <w:rPr>
          <w:rFonts w:ascii="Arial" w:eastAsia="Arial" w:hAnsi="Arial" w:cs="Arial"/>
          <w:color w:val="000000"/>
          <w:sz w:val="22"/>
          <w:szCs w:val="22"/>
        </w:rPr>
        <w:t xml:space="preserve"> e 0,06l/parcela de calda. </w:t>
      </w:r>
      <w:r>
        <w:rPr>
          <w:rFonts w:ascii="Arial" w:eastAsia="Arial" w:hAnsi="Arial" w:cs="Arial"/>
          <w:color w:val="000000"/>
          <w:sz w:val="22"/>
          <w:szCs w:val="22"/>
        </w:rPr>
        <w:t xml:space="preserve">As variáveis respostas analisadas foram: incidência de plantas invasoras e intervalo para retomada do perfilhamento. A determinação da incidência de plantas invasoras ocorreu no dia 22 setembro, por meio da contagem do número de plantas invasoras por parcela. A coleta de dados relacionada a emissão de novos </w:t>
      </w:r>
      <w:proofErr w:type="spellStart"/>
      <w:r>
        <w:rPr>
          <w:rFonts w:ascii="Arial" w:eastAsia="Arial" w:hAnsi="Arial" w:cs="Arial"/>
          <w:color w:val="000000"/>
          <w:sz w:val="22"/>
          <w:szCs w:val="22"/>
        </w:rPr>
        <w:t>perfilhos</w:t>
      </w:r>
      <w:proofErr w:type="spellEnd"/>
      <w:r>
        <w:rPr>
          <w:rFonts w:ascii="Arial" w:eastAsia="Arial" w:hAnsi="Arial" w:cs="Arial"/>
          <w:color w:val="000000"/>
          <w:sz w:val="22"/>
          <w:szCs w:val="22"/>
        </w:rPr>
        <w:t xml:space="preserve"> aconteceu </w:t>
      </w:r>
      <w:r w:rsidR="00894DDC">
        <w:rPr>
          <w:rFonts w:ascii="Arial" w:eastAsia="Arial" w:hAnsi="Arial" w:cs="Arial"/>
          <w:color w:val="000000"/>
          <w:sz w:val="22"/>
          <w:szCs w:val="22"/>
        </w:rPr>
        <w:t xml:space="preserve">semanalmente a partir dos 50 dias após a aplicação, e duas vezes por semana </w:t>
      </w:r>
      <w:r w:rsidR="00B75EE8">
        <w:rPr>
          <w:rFonts w:ascii="Arial" w:eastAsia="Arial" w:hAnsi="Arial" w:cs="Arial"/>
          <w:color w:val="000000"/>
          <w:sz w:val="22"/>
          <w:szCs w:val="22"/>
        </w:rPr>
        <w:t>a</w:t>
      </w:r>
      <w:r w:rsidR="00894DDC">
        <w:rPr>
          <w:rFonts w:ascii="Arial" w:eastAsia="Arial" w:hAnsi="Arial" w:cs="Arial"/>
          <w:color w:val="000000"/>
          <w:sz w:val="22"/>
          <w:szCs w:val="22"/>
        </w:rPr>
        <w:t xml:space="preserve"> partir dos 70 dias. O critério de determinação da </w:t>
      </w:r>
      <w:r>
        <w:rPr>
          <w:rFonts w:ascii="Arial" w:eastAsia="Arial" w:hAnsi="Arial" w:cs="Arial"/>
          <w:color w:val="000000"/>
          <w:sz w:val="22"/>
          <w:szCs w:val="22"/>
        </w:rPr>
        <w:t xml:space="preserve">“retomada do perfilhamento” </w:t>
      </w:r>
      <w:proofErr w:type="spellStart"/>
      <w:r w:rsidR="00894DDC">
        <w:rPr>
          <w:rFonts w:ascii="Arial" w:eastAsia="Arial" w:hAnsi="Arial" w:cs="Arial"/>
          <w:color w:val="000000"/>
          <w:sz w:val="22"/>
          <w:szCs w:val="22"/>
        </w:rPr>
        <w:t>consisitiu</w:t>
      </w:r>
      <w:proofErr w:type="spellEnd"/>
      <w:r w:rsidR="00894DDC">
        <w:rPr>
          <w:rFonts w:ascii="Arial" w:eastAsia="Arial" w:hAnsi="Arial" w:cs="Arial"/>
          <w:color w:val="000000"/>
          <w:sz w:val="22"/>
          <w:szCs w:val="22"/>
        </w:rPr>
        <w:t xml:space="preserve"> na identificação de pelo menos 20 </w:t>
      </w:r>
      <w:proofErr w:type="spellStart"/>
      <w:r>
        <w:rPr>
          <w:rFonts w:ascii="Arial" w:eastAsia="Arial" w:hAnsi="Arial" w:cs="Arial"/>
          <w:color w:val="000000"/>
          <w:sz w:val="22"/>
          <w:szCs w:val="22"/>
        </w:rPr>
        <w:t>perfilhos</w:t>
      </w:r>
      <w:proofErr w:type="spellEnd"/>
      <w:r>
        <w:rPr>
          <w:rFonts w:ascii="Arial" w:eastAsia="Arial" w:hAnsi="Arial" w:cs="Arial"/>
          <w:color w:val="000000"/>
          <w:sz w:val="22"/>
          <w:szCs w:val="22"/>
        </w:rPr>
        <w:t xml:space="preserve"> novos (&gt;3 cm) surgidos na parcela</w:t>
      </w:r>
      <w:r w:rsidR="00894DDC">
        <w:rPr>
          <w:rFonts w:ascii="Arial" w:eastAsia="Arial" w:hAnsi="Arial" w:cs="Arial"/>
          <w:color w:val="000000"/>
          <w:sz w:val="22"/>
          <w:szCs w:val="22"/>
        </w:rPr>
        <w:t xml:space="preserve"> (5 </w:t>
      </w:r>
      <w:proofErr w:type="spellStart"/>
      <w:r w:rsidR="00894DDC">
        <w:rPr>
          <w:rFonts w:ascii="Arial" w:eastAsia="Arial" w:hAnsi="Arial" w:cs="Arial"/>
          <w:color w:val="000000"/>
          <w:sz w:val="22"/>
          <w:szCs w:val="22"/>
        </w:rPr>
        <w:t>perfilhos</w:t>
      </w:r>
      <w:proofErr w:type="spellEnd"/>
      <w:r w:rsidR="00894DDC">
        <w:rPr>
          <w:rFonts w:ascii="Arial" w:eastAsia="Arial" w:hAnsi="Arial" w:cs="Arial"/>
          <w:color w:val="000000"/>
          <w:sz w:val="22"/>
          <w:szCs w:val="22"/>
        </w:rPr>
        <w:t>/m</w:t>
      </w:r>
      <w:r w:rsidR="00894DDC" w:rsidRPr="00894DDC">
        <w:rPr>
          <w:rFonts w:ascii="Arial" w:eastAsia="Arial" w:hAnsi="Arial" w:cs="Arial"/>
          <w:color w:val="000000"/>
          <w:sz w:val="22"/>
          <w:szCs w:val="22"/>
          <w:vertAlign w:val="superscript"/>
        </w:rPr>
        <w:t>2</w:t>
      </w:r>
      <w:r w:rsidR="00894DDC">
        <w:rPr>
          <w:rFonts w:ascii="Arial" w:eastAsia="Arial" w:hAnsi="Arial" w:cs="Arial"/>
          <w:color w:val="000000"/>
          <w:sz w:val="22"/>
          <w:szCs w:val="22"/>
        </w:rPr>
        <w:t>)</w:t>
      </w:r>
      <w:r>
        <w:rPr>
          <w:rFonts w:ascii="Arial" w:eastAsia="Arial" w:hAnsi="Arial" w:cs="Arial"/>
          <w:color w:val="000000"/>
          <w:sz w:val="22"/>
          <w:szCs w:val="22"/>
        </w:rPr>
        <w:t xml:space="preserve">, a data em que </w:t>
      </w:r>
      <w:r w:rsidR="00894DDC">
        <w:rPr>
          <w:rFonts w:ascii="Arial" w:eastAsia="Arial" w:hAnsi="Arial" w:cs="Arial"/>
          <w:color w:val="000000"/>
          <w:sz w:val="22"/>
          <w:szCs w:val="22"/>
        </w:rPr>
        <w:t>esta condição ocorreu foi</w:t>
      </w:r>
      <w:r>
        <w:rPr>
          <w:rFonts w:ascii="Arial" w:eastAsia="Arial" w:hAnsi="Arial" w:cs="Arial"/>
          <w:color w:val="000000"/>
          <w:sz w:val="22"/>
          <w:szCs w:val="22"/>
        </w:rPr>
        <w:t xml:space="preserve"> considerada como o momento do início da </w:t>
      </w:r>
      <w:proofErr w:type="spellStart"/>
      <w:r>
        <w:rPr>
          <w:rFonts w:ascii="Arial" w:eastAsia="Arial" w:hAnsi="Arial" w:cs="Arial"/>
          <w:color w:val="000000"/>
          <w:sz w:val="22"/>
          <w:szCs w:val="22"/>
        </w:rPr>
        <w:t>rebrotação</w:t>
      </w:r>
      <w:proofErr w:type="spellEnd"/>
      <w:r>
        <w:rPr>
          <w:rFonts w:ascii="Arial" w:eastAsia="Arial" w:hAnsi="Arial" w:cs="Arial"/>
          <w:color w:val="000000"/>
          <w:sz w:val="22"/>
          <w:szCs w:val="22"/>
        </w:rPr>
        <w:t xml:space="preserve">. </w:t>
      </w:r>
    </w:p>
    <w:p w14:paraId="0000000C" w14:textId="77777777" w:rsidR="00F54854" w:rsidRDefault="00000000">
      <w:pPr>
        <w:jc w:val="both"/>
        <w:rPr>
          <w:rFonts w:ascii="Arial" w:eastAsia="Arial" w:hAnsi="Arial" w:cs="Arial"/>
          <w:sz w:val="22"/>
          <w:szCs w:val="22"/>
        </w:rPr>
      </w:pPr>
      <w:r>
        <w:rPr>
          <w:rFonts w:ascii="Arial" w:eastAsia="Arial" w:hAnsi="Arial" w:cs="Arial"/>
          <w:color w:val="000000"/>
          <w:sz w:val="22"/>
          <w:szCs w:val="22"/>
        </w:rPr>
        <w:t xml:space="preserve">A análise dos dados foi realizada utilizando o software estatístico R. A análise de variância foi realizada por meio do pacote lme4, e quando significativas (p&lt;0,05) as médias foram comparadas pelo teste de </w:t>
      </w:r>
      <w:proofErr w:type="spellStart"/>
      <w:r>
        <w:rPr>
          <w:rFonts w:ascii="Arial" w:eastAsia="Arial" w:hAnsi="Arial" w:cs="Arial"/>
          <w:color w:val="000000"/>
          <w:sz w:val="22"/>
          <w:szCs w:val="22"/>
        </w:rPr>
        <w:t>Tukey</w:t>
      </w:r>
      <w:proofErr w:type="spellEnd"/>
      <w:r>
        <w:rPr>
          <w:rFonts w:ascii="Arial" w:eastAsia="Arial" w:hAnsi="Arial" w:cs="Arial"/>
          <w:color w:val="000000"/>
          <w:sz w:val="22"/>
          <w:szCs w:val="22"/>
        </w:rPr>
        <w:t xml:space="preserve"> a 5% de significância por meio do pacote </w:t>
      </w:r>
      <w:proofErr w:type="spellStart"/>
      <w:r>
        <w:rPr>
          <w:rFonts w:ascii="Arial" w:eastAsia="Arial" w:hAnsi="Arial" w:cs="Arial"/>
          <w:color w:val="000000"/>
          <w:sz w:val="22"/>
          <w:szCs w:val="22"/>
        </w:rPr>
        <w:t>emmeans</w:t>
      </w:r>
      <w:proofErr w:type="spellEnd"/>
      <w:r>
        <w:rPr>
          <w:rFonts w:ascii="Arial" w:eastAsia="Arial" w:hAnsi="Arial" w:cs="Arial"/>
          <w:color w:val="000000"/>
          <w:sz w:val="22"/>
          <w:szCs w:val="22"/>
        </w:rPr>
        <w:t xml:space="preserve">. </w:t>
      </w:r>
    </w:p>
    <w:p w14:paraId="0000000D" w14:textId="77777777" w:rsidR="00F54854" w:rsidRDefault="00F54854">
      <w:pPr>
        <w:jc w:val="both"/>
        <w:rPr>
          <w:rFonts w:ascii="Arial" w:eastAsia="Arial" w:hAnsi="Arial" w:cs="Arial"/>
          <w:b/>
          <w:color w:val="000000"/>
          <w:sz w:val="22"/>
          <w:szCs w:val="22"/>
        </w:rPr>
      </w:pPr>
    </w:p>
    <w:p w14:paraId="0000000E" w14:textId="51CF35F7" w:rsidR="00F54854" w:rsidRDefault="00000000">
      <w:pPr>
        <w:jc w:val="both"/>
        <w:rPr>
          <w:rFonts w:ascii="Arial" w:eastAsia="Arial" w:hAnsi="Arial" w:cs="Arial"/>
          <w:sz w:val="22"/>
          <w:szCs w:val="22"/>
        </w:rPr>
      </w:pPr>
      <w:bookmarkStart w:id="1" w:name="_heading=h.30j0zll" w:colFirst="0" w:colLast="0"/>
      <w:bookmarkEnd w:id="1"/>
      <w:r>
        <w:rPr>
          <w:rFonts w:ascii="Arial" w:eastAsia="Arial" w:hAnsi="Arial" w:cs="Arial"/>
          <w:b/>
          <w:color w:val="000000"/>
          <w:sz w:val="22"/>
          <w:szCs w:val="22"/>
        </w:rPr>
        <w:t>Resultados e discussões:</w:t>
      </w:r>
      <w:r>
        <w:rPr>
          <w:rFonts w:ascii="Arial" w:eastAsia="Arial" w:hAnsi="Arial" w:cs="Arial"/>
          <w:color w:val="000000"/>
          <w:sz w:val="22"/>
          <w:szCs w:val="22"/>
        </w:rPr>
        <w:t xml:space="preserve"> Destacamos que no ano experimental a ocorrência de geada foi tardia, ocorrendo apenas </w:t>
      </w:r>
      <w:sdt>
        <w:sdtPr>
          <w:tag w:val="goog_rdk_3"/>
          <w:id w:val="1307277655"/>
        </w:sdtPr>
        <w:sdtContent>
          <w:r>
            <w:rPr>
              <w:rFonts w:ascii="Arial" w:eastAsia="Arial" w:hAnsi="Arial" w:cs="Arial"/>
              <w:color w:val="000000"/>
              <w:sz w:val="22"/>
              <w:szCs w:val="22"/>
            </w:rPr>
            <w:t xml:space="preserve">uma geada fraca (Araújo et al. 2012) </w:t>
          </w:r>
        </w:sdtContent>
      </w:sdt>
      <w:r>
        <w:rPr>
          <w:rFonts w:ascii="Arial" w:eastAsia="Arial" w:hAnsi="Arial" w:cs="Arial"/>
          <w:color w:val="000000"/>
          <w:sz w:val="22"/>
          <w:szCs w:val="22"/>
        </w:rPr>
        <w:t>no dia 19 de agosto de 2022. Em situações como esta, a ausência de geada pode ser um fator limitante para o desenvolvimento das espécies de inverno,</w:t>
      </w:r>
      <w:r w:rsidR="00B75EE8">
        <w:rPr>
          <w:rFonts w:ascii="Arial" w:eastAsia="Arial" w:hAnsi="Arial" w:cs="Arial"/>
          <w:color w:val="000000"/>
          <w:sz w:val="22"/>
          <w:szCs w:val="22"/>
        </w:rPr>
        <w:t xml:space="preserve"> especialmente aquelas mais precoces, como é o caso do centeio (POSTIGLIONI et al., 1982),</w:t>
      </w:r>
      <w:r>
        <w:rPr>
          <w:rFonts w:ascii="Arial" w:eastAsia="Arial" w:hAnsi="Arial" w:cs="Arial"/>
          <w:color w:val="000000"/>
          <w:sz w:val="22"/>
          <w:szCs w:val="22"/>
        </w:rPr>
        <w:t xml:space="preserve"> uma vez que </w:t>
      </w:r>
      <w:r w:rsidR="00B75EE8">
        <w:rPr>
          <w:rFonts w:ascii="Arial" w:eastAsia="Arial" w:hAnsi="Arial" w:cs="Arial"/>
          <w:color w:val="000000"/>
          <w:sz w:val="22"/>
          <w:szCs w:val="22"/>
        </w:rPr>
        <w:t>algumas espécies de verão possuem uma</w:t>
      </w:r>
      <w:r>
        <w:rPr>
          <w:rFonts w:ascii="Arial" w:eastAsia="Arial" w:hAnsi="Arial" w:cs="Arial"/>
          <w:color w:val="000000"/>
          <w:sz w:val="22"/>
          <w:szCs w:val="22"/>
        </w:rPr>
        <w:t xml:space="preserve"> temperatura basal próxima a 10</w:t>
      </w:r>
      <w:r>
        <w:rPr>
          <w:rFonts w:ascii="Arial" w:eastAsia="Arial" w:hAnsi="Arial" w:cs="Arial"/>
          <w:color w:val="000000"/>
          <w:sz w:val="22"/>
          <w:szCs w:val="22"/>
          <w:vertAlign w:val="superscript"/>
        </w:rPr>
        <w:t>o</w:t>
      </w:r>
      <w:r>
        <w:rPr>
          <w:rFonts w:ascii="Arial" w:eastAsia="Arial" w:hAnsi="Arial" w:cs="Arial"/>
          <w:color w:val="000000"/>
          <w:sz w:val="22"/>
          <w:szCs w:val="22"/>
        </w:rPr>
        <w:t>C</w:t>
      </w:r>
      <w:r w:rsidR="00B75EE8">
        <w:rPr>
          <w:rFonts w:ascii="Arial" w:eastAsia="Arial" w:hAnsi="Arial" w:cs="Arial"/>
          <w:color w:val="000000"/>
          <w:sz w:val="22"/>
          <w:szCs w:val="22"/>
        </w:rPr>
        <w:t>, como é o caso do Tifton 85</w:t>
      </w:r>
      <w:r>
        <w:rPr>
          <w:rFonts w:ascii="Arial" w:eastAsia="Arial" w:hAnsi="Arial" w:cs="Arial"/>
          <w:color w:val="000000"/>
          <w:sz w:val="22"/>
          <w:szCs w:val="22"/>
        </w:rPr>
        <w:t xml:space="preserve"> (OLIVEIRA et al., 2000).</w:t>
      </w:r>
      <w:sdt>
        <w:sdtPr>
          <w:tag w:val="goog_rdk_4"/>
          <w:id w:val="1475717128"/>
        </w:sdtPr>
        <w:sdtContent>
          <w:r>
            <w:rPr>
              <w:rFonts w:ascii="Arial" w:eastAsia="Arial" w:hAnsi="Arial" w:cs="Arial"/>
              <w:color w:val="000000"/>
              <w:sz w:val="22"/>
              <w:szCs w:val="22"/>
            </w:rPr>
            <w:t xml:space="preserve"> </w:t>
          </w:r>
        </w:sdtContent>
      </w:sdt>
      <w:r>
        <w:rPr>
          <w:rFonts w:ascii="Arial" w:eastAsia="Arial" w:hAnsi="Arial" w:cs="Arial"/>
          <w:sz w:val="22"/>
          <w:szCs w:val="22"/>
        </w:rPr>
        <w:t xml:space="preserve">A presença de plantas invasoras foi maior (p&lt;0,05) nas parcelas em que a dose do herbicida foi completa ou 75% em relação à dose total (Tabela 1). O mesmo padrão de resposta foi observado no intervalo para o início do rebrote, em que os tratamentos com as doses 75 e 100% apresentaram um período maior para </w:t>
      </w:r>
      <w:r w:rsidR="00894DDC">
        <w:rPr>
          <w:rFonts w:ascii="Arial" w:eastAsia="Arial" w:hAnsi="Arial" w:cs="Arial"/>
          <w:sz w:val="22"/>
          <w:szCs w:val="22"/>
        </w:rPr>
        <w:t xml:space="preserve">a retomada </w:t>
      </w:r>
      <w:r>
        <w:rPr>
          <w:rFonts w:ascii="Arial" w:eastAsia="Arial" w:hAnsi="Arial" w:cs="Arial"/>
          <w:sz w:val="22"/>
          <w:szCs w:val="22"/>
        </w:rPr>
        <w:t>do perfilhamento em relação as demais dosagens (Tabela 1).</w:t>
      </w:r>
    </w:p>
    <w:p w14:paraId="0000000F" w14:textId="77777777" w:rsidR="00F54854" w:rsidRDefault="00F54854">
      <w:pPr>
        <w:jc w:val="both"/>
        <w:rPr>
          <w:rFonts w:ascii="Arial" w:eastAsia="Arial" w:hAnsi="Arial" w:cs="Arial"/>
          <w:color w:val="000000"/>
          <w:sz w:val="22"/>
          <w:szCs w:val="22"/>
        </w:rPr>
      </w:pPr>
    </w:p>
    <w:p w14:paraId="00000010" w14:textId="77777777" w:rsidR="00F54854" w:rsidRDefault="00000000">
      <w:pPr>
        <w:jc w:val="both"/>
        <w:rPr>
          <w:rFonts w:ascii="Arial" w:eastAsia="Arial" w:hAnsi="Arial" w:cs="Arial"/>
          <w:sz w:val="20"/>
          <w:szCs w:val="20"/>
        </w:rPr>
      </w:pPr>
      <w:r>
        <w:rPr>
          <w:rFonts w:ascii="Arial" w:eastAsia="Arial" w:hAnsi="Arial" w:cs="Arial"/>
          <w:b/>
          <w:sz w:val="20"/>
          <w:szCs w:val="20"/>
        </w:rPr>
        <w:t>Tabela 1</w:t>
      </w:r>
      <w:r>
        <w:rPr>
          <w:rFonts w:ascii="Arial" w:eastAsia="Arial" w:hAnsi="Arial" w:cs="Arial"/>
          <w:sz w:val="20"/>
          <w:szCs w:val="20"/>
        </w:rPr>
        <w:t xml:space="preserve"> – Incidência de plantas daninhas (número de plantas/m</w:t>
      </w:r>
      <w:r>
        <w:rPr>
          <w:rFonts w:ascii="Arial" w:eastAsia="Arial" w:hAnsi="Arial" w:cs="Arial"/>
          <w:sz w:val="20"/>
          <w:szCs w:val="20"/>
          <w:vertAlign w:val="superscript"/>
        </w:rPr>
        <w:t>2</w:t>
      </w:r>
      <w:r>
        <w:rPr>
          <w:rFonts w:ascii="Arial" w:eastAsia="Arial" w:hAnsi="Arial" w:cs="Arial"/>
          <w:sz w:val="20"/>
          <w:szCs w:val="20"/>
        </w:rPr>
        <w:t>) e intervalo para a retomada do rebrote (dias) de pastagem de Tifton 85 submetida a doses de glifosato durante o inverno.</w:t>
      </w:r>
    </w:p>
    <w:tbl>
      <w:tblPr>
        <w:tblStyle w:val="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4680"/>
        <w:gridCol w:w="2958"/>
      </w:tblGrid>
      <w:tr w:rsidR="00F54854" w14:paraId="53803E51" w14:textId="77777777">
        <w:tc>
          <w:tcPr>
            <w:tcW w:w="1416" w:type="dxa"/>
            <w:tcBorders>
              <w:left w:val="nil"/>
              <w:bottom w:val="nil"/>
              <w:right w:val="nil"/>
            </w:tcBorders>
          </w:tcPr>
          <w:p w14:paraId="00000011" w14:textId="77777777" w:rsidR="00F54854" w:rsidRDefault="00000000">
            <w:pPr>
              <w:widowControl w:val="0"/>
              <w:jc w:val="center"/>
              <w:rPr>
                <w:rFonts w:ascii="Arial" w:eastAsia="Arial" w:hAnsi="Arial" w:cs="Arial"/>
                <w:sz w:val="20"/>
                <w:szCs w:val="20"/>
              </w:rPr>
            </w:pPr>
            <w:r>
              <w:rPr>
                <w:rFonts w:ascii="Arial" w:eastAsia="Arial" w:hAnsi="Arial" w:cs="Arial"/>
                <w:b/>
                <w:sz w:val="20"/>
                <w:szCs w:val="20"/>
              </w:rPr>
              <w:t>Tratamentos</w:t>
            </w:r>
          </w:p>
        </w:tc>
        <w:tc>
          <w:tcPr>
            <w:tcW w:w="4680" w:type="dxa"/>
            <w:tcBorders>
              <w:left w:val="nil"/>
              <w:right w:val="nil"/>
            </w:tcBorders>
          </w:tcPr>
          <w:p w14:paraId="00000012" w14:textId="77777777" w:rsidR="00F54854" w:rsidRDefault="00000000">
            <w:pPr>
              <w:widowControl w:val="0"/>
              <w:jc w:val="center"/>
              <w:rPr>
                <w:rFonts w:ascii="Arial" w:eastAsia="Arial" w:hAnsi="Arial" w:cs="Arial"/>
                <w:sz w:val="20"/>
                <w:szCs w:val="20"/>
              </w:rPr>
            </w:pPr>
            <w:r>
              <w:rPr>
                <w:rFonts w:ascii="Arial" w:eastAsia="Arial" w:hAnsi="Arial" w:cs="Arial"/>
                <w:b/>
                <w:sz w:val="20"/>
                <w:szCs w:val="20"/>
              </w:rPr>
              <w:t>Incidência de plantas daninhas (plantas/m²)</w:t>
            </w:r>
          </w:p>
        </w:tc>
        <w:tc>
          <w:tcPr>
            <w:tcW w:w="2958" w:type="dxa"/>
            <w:tcBorders>
              <w:left w:val="nil"/>
              <w:right w:val="nil"/>
            </w:tcBorders>
          </w:tcPr>
          <w:p w14:paraId="00000013" w14:textId="77777777" w:rsidR="00F54854" w:rsidRDefault="00000000">
            <w:pPr>
              <w:widowControl w:val="0"/>
              <w:jc w:val="center"/>
              <w:rPr>
                <w:rFonts w:ascii="Arial" w:eastAsia="Arial" w:hAnsi="Arial" w:cs="Arial"/>
                <w:sz w:val="20"/>
                <w:szCs w:val="20"/>
              </w:rPr>
            </w:pPr>
            <w:r>
              <w:rPr>
                <w:rFonts w:ascii="Arial" w:eastAsia="Arial" w:hAnsi="Arial" w:cs="Arial"/>
                <w:b/>
                <w:sz w:val="20"/>
                <w:szCs w:val="20"/>
              </w:rPr>
              <w:t>Intervalo para rebrote (dias)</w:t>
            </w:r>
          </w:p>
        </w:tc>
      </w:tr>
      <w:tr w:rsidR="00F54854" w14:paraId="79E396D1" w14:textId="77777777">
        <w:tc>
          <w:tcPr>
            <w:tcW w:w="1416" w:type="dxa"/>
            <w:tcBorders>
              <w:top w:val="nil"/>
              <w:left w:val="nil"/>
              <w:bottom w:val="nil"/>
              <w:right w:val="nil"/>
            </w:tcBorders>
          </w:tcPr>
          <w:p w14:paraId="00000014"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0%</w:t>
            </w:r>
          </w:p>
        </w:tc>
        <w:tc>
          <w:tcPr>
            <w:tcW w:w="4680" w:type="dxa"/>
            <w:tcBorders>
              <w:left w:val="nil"/>
              <w:bottom w:val="nil"/>
              <w:right w:val="nil"/>
            </w:tcBorders>
          </w:tcPr>
          <w:p w14:paraId="00000015"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8,5 c</w:t>
            </w:r>
          </w:p>
        </w:tc>
        <w:tc>
          <w:tcPr>
            <w:tcW w:w="2958" w:type="dxa"/>
            <w:tcBorders>
              <w:left w:val="nil"/>
              <w:bottom w:val="nil"/>
              <w:right w:val="nil"/>
            </w:tcBorders>
          </w:tcPr>
          <w:p w14:paraId="00000016"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83 b</w:t>
            </w:r>
          </w:p>
        </w:tc>
      </w:tr>
      <w:tr w:rsidR="00F54854" w14:paraId="2B1DD79F" w14:textId="77777777">
        <w:tc>
          <w:tcPr>
            <w:tcW w:w="1416" w:type="dxa"/>
            <w:tcBorders>
              <w:top w:val="nil"/>
              <w:left w:val="nil"/>
              <w:bottom w:val="nil"/>
              <w:right w:val="nil"/>
            </w:tcBorders>
          </w:tcPr>
          <w:p w14:paraId="00000017"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25%</w:t>
            </w:r>
          </w:p>
        </w:tc>
        <w:tc>
          <w:tcPr>
            <w:tcW w:w="4680" w:type="dxa"/>
            <w:tcBorders>
              <w:top w:val="nil"/>
              <w:left w:val="nil"/>
              <w:bottom w:val="nil"/>
              <w:right w:val="nil"/>
            </w:tcBorders>
          </w:tcPr>
          <w:p w14:paraId="00000018"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11,25 c</w:t>
            </w:r>
          </w:p>
        </w:tc>
        <w:tc>
          <w:tcPr>
            <w:tcW w:w="2958" w:type="dxa"/>
            <w:tcBorders>
              <w:top w:val="nil"/>
              <w:left w:val="nil"/>
              <w:bottom w:val="nil"/>
              <w:right w:val="nil"/>
            </w:tcBorders>
          </w:tcPr>
          <w:p w14:paraId="00000019"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90 b</w:t>
            </w:r>
          </w:p>
        </w:tc>
      </w:tr>
      <w:tr w:rsidR="00F54854" w14:paraId="32E5C6CE" w14:textId="77777777">
        <w:tc>
          <w:tcPr>
            <w:tcW w:w="1416" w:type="dxa"/>
            <w:tcBorders>
              <w:top w:val="nil"/>
              <w:left w:val="nil"/>
              <w:bottom w:val="nil"/>
              <w:right w:val="nil"/>
            </w:tcBorders>
          </w:tcPr>
          <w:p w14:paraId="0000001A"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50%</w:t>
            </w:r>
          </w:p>
        </w:tc>
        <w:tc>
          <w:tcPr>
            <w:tcW w:w="4680" w:type="dxa"/>
            <w:tcBorders>
              <w:top w:val="nil"/>
              <w:left w:val="nil"/>
              <w:bottom w:val="nil"/>
              <w:right w:val="nil"/>
            </w:tcBorders>
          </w:tcPr>
          <w:p w14:paraId="0000001B"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18,75 b</w:t>
            </w:r>
          </w:p>
        </w:tc>
        <w:tc>
          <w:tcPr>
            <w:tcW w:w="2958" w:type="dxa"/>
            <w:tcBorders>
              <w:top w:val="nil"/>
              <w:left w:val="nil"/>
              <w:bottom w:val="nil"/>
              <w:right w:val="nil"/>
            </w:tcBorders>
          </w:tcPr>
          <w:p w14:paraId="0000001C"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102 b</w:t>
            </w:r>
          </w:p>
        </w:tc>
      </w:tr>
      <w:tr w:rsidR="00F54854" w14:paraId="340890B9" w14:textId="77777777">
        <w:tc>
          <w:tcPr>
            <w:tcW w:w="1416" w:type="dxa"/>
            <w:tcBorders>
              <w:top w:val="nil"/>
              <w:left w:val="nil"/>
              <w:bottom w:val="nil"/>
              <w:right w:val="nil"/>
            </w:tcBorders>
          </w:tcPr>
          <w:p w14:paraId="0000001D"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75%</w:t>
            </w:r>
          </w:p>
        </w:tc>
        <w:tc>
          <w:tcPr>
            <w:tcW w:w="4680" w:type="dxa"/>
            <w:tcBorders>
              <w:top w:val="nil"/>
              <w:left w:val="nil"/>
              <w:bottom w:val="nil"/>
              <w:right w:val="nil"/>
            </w:tcBorders>
          </w:tcPr>
          <w:p w14:paraId="0000001E"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26 a</w:t>
            </w:r>
          </w:p>
        </w:tc>
        <w:tc>
          <w:tcPr>
            <w:tcW w:w="2958" w:type="dxa"/>
            <w:tcBorders>
              <w:top w:val="nil"/>
              <w:left w:val="nil"/>
              <w:bottom w:val="nil"/>
              <w:right w:val="nil"/>
            </w:tcBorders>
          </w:tcPr>
          <w:p w14:paraId="0000001F"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148 a</w:t>
            </w:r>
          </w:p>
        </w:tc>
      </w:tr>
      <w:tr w:rsidR="00F54854" w14:paraId="47A4D269" w14:textId="77777777">
        <w:tc>
          <w:tcPr>
            <w:tcW w:w="1416" w:type="dxa"/>
            <w:tcBorders>
              <w:top w:val="nil"/>
              <w:left w:val="nil"/>
              <w:right w:val="nil"/>
            </w:tcBorders>
          </w:tcPr>
          <w:p w14:paraId="00000020"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100%</w:t>
            </w:r>
          </w:p>
        </w:tc>
        <w:tc>
          <w:tcPr>
            <w:tcW w:w="4680" w:type="dxa"/>
            <w:tcBorders>
              <w:top w:val="nil"/>
              <w:left w:val="nil"/>
              <w:right w:val="nil"/>
            </w:tcBorders>
          </w:tcPr>
          <w:p w14:paraId="00000021"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29,5 a</w:t>
            </w:r>
          </w:p>
        </w:tc>
        <w:tc>
          <w:tcPr>
            <w:tcW w:w="2958" w:type="dxa"/>
            <w:tcBorders>
              <w:top w:val="nil"/>
              <w:left w:val="nil"/>
              <w:right w:val="nil"/>
            </w:tcBorders>
          </w:tcPr>
          <w:p w14:paraId="00000022" w14:textId="77777777" w:rsidR="00F54854" w:rsidRDefault="00000000">
            <w:pPr>
              <w:widowControl w:val="0"/>
              <w:jc w:val="center"/>
              <w:rPr>
                <w:rFonts w:ascii="Arial" w:eastAsia="Arial" w:hAnsi="Arial" w:cs="Arial"/>
                <w:sz w:val="20"/>
                <w:szCs w:val="20"/>
              </w:rPr>
            </w:pPr>
            <w:r>
              <w:rPr>
                <w:rFonts w:ascii="Arial" w:eastAsia="Arial" w:hAnsi="Arial" w:cs="Arial"/>
                <w:sz w:val="20"/>
                <w:szCs w:val="20"/>
              </w:rPr>
              <w:t>167 a</w:t>
            </w:r>
          </w:p>
        </w:tc>
      </w:tr>
    </w:tbl>
    <w:p w14:paraId="00000024" w14:textId="3C5A6115" w:rsidR="00F54854" w:rsidRDefault="00000000">
      <w:pPr>
        <w:jc w:val="both"/>
        <w:rPr>
          <w:rFonts w:ascii="Arial" w:eastAsia="Arial" w:hAnsi="Arial" w:cs="Arial"/>
          <w:sz w:val="20"/>
          <w:szCs w:val="20"/>
        </w:rPr>
      </w:pPr>
      <w:sdt>
        <w:sdtPr>
          <w:tag w:val="goog_rdk_7"/>
          <w:id w:val="-1166943929"/>
        </w:sdtPr>
        <w:sdtContent>
          <w:r>
            <w:rPr>
              <w:rFonts w:ascii="Arial" w:eastAsia="Arial" w:hAnsi="Arial" w:cs="Arial"/>
              <w:sz w:val="20"/>
              <w:szCs w:val="20"/>
            </w:rPr>
            <w:t xml:space="preserve">Médias seguidas de letra igual na mesma coluna não diferem entre si pelo Teste de </w:t>
          </w:r>
          <w:proofErr w:type="spellStart"/>
          <w:r>
            <w:rPr>
              <w:rFonts w:ascii="Arial" w:eastAsia="Arial" w:hAnsi="Arial" w:cs="Arial"/>
              <w:sz w:val="20"/>
              <w:szCs w:val="20"/>
            </w:rPr>
            <w:t>Tukey</w:t>
          </w:r>
          <w:proofErr w:type="spellEnd"/>
          <w:r>
            <w:rPr>
              <w:rFonts w:ascii="Arial" w:eastAsia="Arial" w:hAnsi="Arial" w:cs="Arial"/>
              <w:sz w:val="20"/>
              <w:szCs w:val="20"/>
            </w:rPr>
            <w:t xml:space="preserve"> a 5% de probabilidade (p&lt;0,05)</w:t>
          </w:r>
          <w:sdt>
            <w:sdtPr>
              <w:tag w:val="goog_rdk_5"/>
              <w:id w:val="844211613"/>
            </w:sdtPr>
            <w:sdtContent>
              <w:r>
                <w:rPr>
                  <w:rFonts w:ascii="Arial" w:eastAsia="Arial" w:hAnsi="Arial" w:cs="Arial"/>
                  <w:sz w:val="20"/>
                  <w:szCs w:val="20"/>
                </w:rPr>
                <w:t>.</w:t>
              </w:r>
            </w:sdtContent>
          </w:sdt>
          <w:sdt>
            <w:sdtPr>
              <w:tag w:val="goog_rdk_10"/>
              <w:id w:val="1555123912"/>
            </w:sdtPr>
            <w:sdtContent/>
          </w:sdt>
        </w:sdtContent>
      </w:sdt>
    </w:p>
    <w:p w14:paraId="00000025" w14:textId="77777777" w:rsidR="00F54854" w:rsidRDefault="00F54854">
      <w:pPr>
        <w:jc w:val="both"/>
        <w:rPr>
          <w:rFonts w:ascii="Arial" w:eastAsia="Arial" w:hAnsi="Arial" w:cs="Arial"/>
          <w:sz w:val="20"/>
          <w:szCs w:val="20"/>
        </w:rPr>
      </w:pPr>
    </w:p>
    <w:p w14:paraId="00000026" w14:textId="7ABF759F" w:rsidR="00F54854" w:rsidRDefault="00000000">
      <w:pPr>
        <w:jc w:val="both"/>
        <w:rPr>
          <w:rFonts w:ascii="Arial" w:eastAsia="Arial" w:hAnsi="Arial" w:cs="Arial"/>
          <w:sz w:val="22"/>
          <w:szCs w:val="22"/>
        </w:rPr>
      </w:pPr>
      <w:r>
        <w:rPr>
          <w:rFonts w:ascii="Arial" w:eastAsia="Arial" w:hAnsi="Arial" w:cs="Arial"/>
          <w:sz w:val="22"/>
          <w:szCs w:val="22"/>
        </w:rPr>
        <w:t xml:space="preserve">É importante destacar que a dose de 25% não apresentou diferença do controle para nenhuma das variáveis analisadas, ou seja, aplicações de até 0,693 kg/ha de </w:t>
      </w:r>
      <w:proofErr w:type="spellStart"/>
      <w:proofErr w:type="gramStart"/>
      <w:r>
        <w:rPr>
          <w:rFonts w:ascii="Arial" w:eastAsia="Arial" w:hAnsi="Arial" w:cs="Arial"/>
          <w:sz w:val="22"/>
          <w:szCs w:val="22"/>
        </w:rPr>
        <w:t>i,a</w:t>
      </w:r>
      <w:proofErr w:type="spellEnd"/>
      <w:r>
        <w:rPr>
          <w:rFonts w:ascii="Arial" w:eastAsia="Arial" w:hAnsi="Arial" w:cs="Arial"/>
          <w:sz w:val="22"/>
          <w:szCs w:val="22"/>
        </w:rPr>
        <w:t>.</w:t>
      </w:r>
      <w:proofErr w:type="gramEnd"/>
      <w:r>
        <w:rPr>
          <w:rFonts w:ascii="Arial" w:eastAsia="Arial" w:hAnsi="Arial" w:cs="Arial"/>
          <w:sz w:val="22"/>
          <w:szCs w:val="22"/>
        </w:rPr>
        <w:t xml:space="preserve"> de glifosato não comprometem o retorno do Tifton 85 no início da estação quente e não aumentam a incidência de plantas daninhas na área. Considerando apenas o retorno do perfilhamento, doses de até 50% da dose total não comprometeram o retorno do perfilhamento do dossel. </w:t>
      </w:r>
    </w:p>
    <w:p w14:paraId="00000027" w14:textId="77777777" w:rsidR="00F54854" w:rsidRDefault="00000000">
      <w:pPr>
        <w:jc w:val="both"/>
        <w:rPr>
          <w:rFonts w:ascii="Arial" w:eastAsia="Arial" w:hAnsi="Arial" w:cs="Arial"/>
          <w:sz w:val="22"/>
          <w:szCs w:val="22"/>
        </w:rPr>
      </w:pPr>
      <w:r>
        <w:rPr>
          <w:rFonts w:ascii="Arial" w:eastAsia="Arial" w:hAnsi="Arial" w:cs="Arial"/>
          <w:sz w:val="22"/>
          <w:szCs w:val="22"/>
        </w:rPr>
        <w:t>Em função da geada ter ocorrido tardiamente, o experimento teve efeitos da geada e do glifosato em períodos distintos, de modo que a pastagem já estava crestada em virtude da aplicação de glifosato 10 dias após a aplicação do herbicida em todos os tratamentos, enquanto o tratamento com ausência de aplicação só apresentou este “padrão” com a ocorrência da geada em agosto, ou seja, as unidades experimentais permaneceram vegetando na área, apesar de apresentarem baixa taxa de crescimento (dados não coletados).</w:t>
      </w:r>
    </w:p>
    <w:p w14:paraId="00000028" w14:textId="491599DE" w:rsidR="00F54854" w:rsidRDefault="00B75EE8">
      <w:pPr>
        <w:jc w:val="both"/>
        <w:rPr>
          <w:rFonts w:ascii="Arial" w:eastAsia="Arial" w:hAnsi="Arial" w:cs="Arial"/>
          <w:sz w:val="22"/>
          <w:szCs w:val="22"/>
        </w:rPr>
      </w:pPr>
      <w:r>
        <w:rPr>
          <w:rFonts w:ascii="Arial" w:eastAsia="Arial" w:hAnsi="Arial" w:cs="Arial"/>
          <w:sz w:val="22"/>
          <w:szCs w:val="22"/>
        </w:rPr>
        <w:t xml:space="preserve">Em relação a incidência de plantas invasoras nas maiores doses de herbicida, nossos achados corroboram com os resultados encontrados por ARALDI (2003). No presente experimento as espécies identificadas com maior frequência na área foram: </w:t>
      </w:r>
      <w:proofErr w:type="spellStart"/>
      <w:r>
        <w:rPr>
          <w:rFonts w:ascii="Arial" w:eastAsia="Arial" w:hAnsi="Arial" w:cs="Arial"/>
          <w:sz w:val="22"/>
          <w:szCs w:val="22"/>
        </w:rPr>
        <w:t>buva</w:t>
      </w:r>
      <w:proofErr w:type="spellEnd"/>
      <w:r>
        <w:rPr>
          <w:rFonts w:ascii="Arial" w:eastAsia="Arial" w:hAnsi="Arial" w:cs="Arial"/>
          <w:sz w:val="22"/>
          <w:szCs w:val="22"/>
        </w:rPr>
        <w:t xml:space="preserve"> (</w:t>
      </w:r>
      <w:proofErr w:type="spellStart"/>
      <w:r>
        <w:rPr>
          <w:rFonts w:ascii="Arial" w:eastAsia="Arial" w:hAnsi="Arial" w:cs="Arial"/>
          <w:i/>
          <w:sz w:val="22"/>
          <w:szCs w:val="22"/>
        </w:rPr>
        <w:t>Conyza</w:t>
      </w:r>
      <w:proofErr w:type="spellEnd"/>
      <w:r>
        <w:rPr>
          <w:rFonts w:ascii="Arial" w:eastAsia="Arial" w:hAnsi="Arial" w:cs="Arial"/>
          <w:i/>
          <w:sz w:val="22"/>
          <w:szCs w:val="22"/>
        </w:rPr>
        <w:t xml:space="preserve"> </w:t>
      </w:r>
      <w:proofErr w:type="spellStart"/>
      <w:r>
        <w:rPr>
          <w:rFonts w:ascii="Arial" w:eastAsia="Arial" w:hAnsi="Arial" w:cs="Arial"/>
          <w:i/>
          <w:sz w:val="22"/>
          <w:szCs w:val="22"/>
        </w:rPr>
        <w:t>bonariensis</w:t>
      </w:r>
      <w:proofErr w:type="spellEnd"/>
      <w:r>
        <w:rPr>
          <w:rFonts w:ascii="Arial" w:eastAsia="Arial" w:hAnsi="Arial" w:cs="Arial"/>
          <w:sz w:val="22"/>
          <w:szCs w:val="22"/>
        </w:rPr>
        <w:t>), picão-preto (</w:t>
      </w:r>
      <w:proofErr w:type="spellStart"/>
      <w:r>
        <w:rPr>
          <w:rFonts w:ascii="Arial" w:eastAsia="Arial" w:hAnsi="Arial" w:cs="Arial"/>
          <w:i/>
          <w:sz w:val="22"/>
          <w:szCs w:val="22"/>
        </w:rPr>
        <w:t>Bidens</w:t>
      </w:r>
      <w:proofErr w:type="spellEnd"/>
      <w:r>
        <w:rPr>
          <w:rFonts w:ascii="Arial" w:eastAsia="Arial" w:hAnsi="Arial" w:cs="Arial"/>
          <w:i/>
          <w:sz w:val="22"/>
          <w:szCs w:val="22"/>
        </w:rPr>
        <w:t xml:space="preserve"> pilosa</w:t>
      </w:r>
      <w:r>
        <w:rPr>
          <w:rFonts w:ascii="Arial" w:eastAsia="Arial" w:hAnsi="Arial" w:cs="Arial"/>
          <w:sz w:val="22"/>
          <w:szCs w:val="22"/>
        </w:rPr>
        <w:t>), caruru (</w:t>
      </w:r>
      <w:proofErr w:type="spellStart"/>
      <w:r>
        <w:rPr>
          <w:rFonts w:ascii="Arial" w:eastAsia="Arial" w:hAnsi="Arial" w:cs="Arial"/>
          <w:i/>
          <w:sz w:val="22"/>
          <w:szCs w:val="22"/>
        </w:rPr>
        <w:t>Amaranthus</w:t>
      </w:r>
      <w:proofErr w:type="spellEnd"/>
      <w:r>
        <w:rPr>
          <w:rFonts w:ascii="Arial" w:eastAsia="Arial" w:hAnsi="Arial" w:cs="Arial"/>
          <w:i/>
          <w:sz w:val="22"/>
          <w:szCs w:val="22"/>
        </w:rPr>
        <w:t xml:space="preserve"> </w:t>
      </w:r>
      <w:proofErr w:type="spellStart"/>
      <w:r>
        <w:rPr>
          <w:rFonts w:ascii="Arial" w:eastAsia="Arial" w:hAnsi="Arial" w:cs="Arial"/>
          <w:i/>
          <w:sz w:val="22"/>
          <w:szCs w:val="22"/>
        </w:rPr>
        <w:t>viridis</w:t>
      </w:r>
      <w:proofErr w:type="spellEnd"/>
      <w:r>
        <w:rPr>
          <w:rFonts w:ascii="Arial" w:eastAsia="Arial" w:hAnsi="Arial" w:cs="Arial"/>
          <w:sz w:val="22"/>
          <w:szCs w:val="22"/>
        </w:rPr>
        <w:t>), língua-de-vaca (</w:t>
      </w:r>
      <w:proofErr w:type="spellStart"/>
      <w:r>
        <w:rPr>
          <w:rFonts w:ascii="Arial" w:eastAsia="Arial" w:hAnsi="Arial" w:cs="Arial"/>
          <w:i/>
          <w:sz w:val="22"/>
          <w:szCs w:val="22"/>
        </w:rPr>
        <w:t>Elephantopus</w:t>
      </w:r>
      <w:proofErr w:type="spellEnd"/>
      <w:r>
        <w:rPr>
          <w:rFonts w:ascii="Arial" w:eastAsia="Arial" w:hAnsi="Arial" w:cs="Arial"/>
          <w:i/>
          <w:sz w:val="22"/>
          <w:szCs w:val="22"/>
        </w:rPr>
        <w:t xml:space="preserve"> </w:t>
      </w:r>
      <w:proofErr w:type="spellStart"/>
      <w:r>
        <w:rPr>
          <w:rFonts w:ascii="Arial" w:eastAsia="Arial" w:hAnsi="Arial" w:cs="Arial"/>
          <w:i/>
          <w:sz w:val="22"/>
          <w:szCs w:val="22"/>
        </w:rPr>
        <w:t>scaber</w:t>
      </w:r>
      <w:proofErr w:type="spellEnd"/>
      <w:r>
        <w:rPr>
          <w:rFonts w:ascii="Arial" w:eastAsia="Arial" w:hAnsi="Arial" w:cs="Arial"/>
          <w:sz w:val="22"/>
          <w:szCs w:val="22"/>
        </w:rPr>
        <w:t>) e corda-de-viola (</w:t>
      </w:r>
      <w:proofErr w:type="spellStart"/>
      <w:r>
        <w:rPr>
          <w:rFonts w:ascii="Arial" w:eastAsia="Arial" w:hAnsi="Arial" w:cs="Arial"/>
          <w:i/>
          <w:sz w:val="22"/>
          <w:szCs w:val="22"/>
        </w:rPr>
        <w:t>Ipomoea</w:t>
      </w:r>
      <w:proofErr w:type="spellEnd"/>
      <w:r>
        <w:rPr>
          <w:rFonts w:ascii="Arial" w:eastAsia="Arial" w:hAnsi="Arial" w:cs="Arial"/>
          <w:i/>
          <w:sz w:val="22"/>
          <w:szCs w:val="22"/>
        </w:rPr>
        <w:t xml:space="preserve"> </w:t>
      </w:r>
      <w:proofErr w:type="spellStart"/>
      <w:r>
        <w:rPr>
          <w:rFonts w:ascii="Arial" w:eastAsia="Arial" w:hAnsi="Arial" w:cs="Arial"/>
          <w:i/>
          <w:sz w:val="22"/>
          <w:szCs w:val="22"/>
        </w:rPr>
        <w:t>purpurea</w:t>
      </w:r>
      <w:proofErr w:type="spellEnd"/>
      <w:r>
        <w:rPr>
          <w:rFonts w:ascii="Arial" w:eastAsia="Arial" w:hAnsi="Arial" w:cs="Arial"/>
          <w:sz w:val="22"/>
          <w:szCs w:val="22"/>
        </w:rPr>
        <w:t>).</w:t>
      </w:r>
      <w:sdt>
        <w:sdtPr>
          <w:tag w:val="goog_rdk_17"/>
          <w:id w:val="1433009803"/>
        </w:sdtPr>
        <w:sdtContent>
          <w:r>
            <w:rPr>
              <w:rFonts w:ascii="Arial" w:eastAsia="Arial" w:hAnsi="Arial" w:cs="Arial"/>
              <w:sz w:val="22"/>
              <w:szCs w:val="22"/>
            </w:rPr>
            <w:t xml:space="preserve"> </w:t>
          </w:r>
        </w:sdtContent>
      </w:sdt>
      <w:r>
        <w:rPr>
          <w:rFonts w:ascii="Arial" w:eastAsia="Arial" w:hAnsi="Arial" w:cs="Arial"/>
          <w:sz w:val="22"/>
          <w:szCs w:val="22"/>
        </w:rPr>
        <w:t xml:space="preserve">Destacamos ainda uma </w:t>
      </w:r>
      <w:r>
        <w:rPr>
          <w:rFonts w:ascii="Arial" w:eastAsia="Arial" w:hAnsi="Arial" w:cs="Arial"/>
          <w:sz w:val="22"/>
          <w:szCs w:val="22"/>
        </w:rPr>
        <w:lastRenderedPageBreak/>
        <w:t xml:space="preserve">limitação em nosso estudo, pois nos restringimos a avaliação da cultura de verão, sem a implantação de culturas de inverno por </w:t>
      </w:r>
      <w:proofErr w:type="spellStart"/>
      <w:r>
        <w:rPr>
          <w:rFonts w:ascii="Arial" w:eastAsia="Arial" w:hAnsi="Arial" w:cs="Arial"/>
          <w:sz w:val="22"/>
          <w:szCs w:val="22"/>
        </w:rPr>
        <w:t>sobressemeadura</w:t>
      </w:r>
      <w:proofErr w:type="spellEnd"/>
      <w:r>
        <w:rPr>
          <w:rFonts w:ascii="Arial" w:eastAsia="Arial" w:hAnsi="Arial" w:cs="Arial"/>
          <w:sz w:val="22"/>
          <w:szCs w:val="22"/>
        </w:rPr>
        <w:t xml:space="preserve">. </w:t>
      </w:r>
      <w:sdt>
        <w:sdtPr>
          <w:tag w:val="goog_rdk_18"/>
          <w:id w:val="2044479225"/>
          <w:showingPlcHdr/>
        </w:sdtPr>
        <w:sdtContent>
          <w:r w:rsidR="00894DDC">
            <w:t xml:space="preserve">     </w:t>
          </w:r>
        </w:sdtContent>
      </w:sdt>
    </w:p>
    <w:p w14:paraId="00000029" w14:textId="77777777" w:rsidR="00F54854" w:rsidRDefault="00000000">
      <w:pPr>
        <w:ind w:firstLine="708"/>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                   </w:t>
      </w:r>
    </w:p>
    <w:p w14:paraId="0000002A" w14:textId="53261774" w:rsidR="00F54854" w:rsidRDefault="00000000">
      <w:pPr>
        <w:pBdr>
          <w:top w:val="nil"/>
          <w:left w:val="nil"/>
          <w:bottom w:val="nil"/>
          <w:right w:val="nil"/>
          <w:between w:val="nil"/>
        </w:pBdr>
        <w:jc w:val="both"/>
        <w:rPr>
          <w:rFonts w:ascii="Arial" w:eastAsia="Arial" w:hAnsi="Arial" w:cs="Arial"/>
          <w:color w:val="00000A"/>
          <w:sz w:val="22"/>
          <w:szCs w:val="22"/>
        </w:rPr>
      </w:pPr>
      <w:r>
        <w:rPr>
          <w:rFonts w:ascii="Arial" w:eastAsia="Arial" w:hAnsi="Arial" w:cs="Arial"/>
          <w:b/>
          <w:color w:val="000000"/>
          <w:sz w:val="22"/>
          <w:szCs w:val="22"/>
        </w:rPr>
        <w:t>Conclusão</w:t>
      </w:r>
      <w:r>
        <w:rPr>
          <w:rFonts w:ascii="Arial" w:eastAsia="Arial" w:hAnsi="Arial" w:cs="Arial"/>
          <w:color w:val="000000"/>
          <w:sz w:val="22"/>
          <w:szCs w:val="22"/>
        </w:rPr>
        <w:t>:</w:t>
      </w:r>
      <w:r>
        <w:rPr>
          <w:rFonts w:ascii="Cambria" w:eastAsia="Cambria" w:hAnsi="Cambria" w:cs="Cambria"/>
          <w:color w:val="00000A"/>
        </w:rPr>
        <w:t xml:space="preserve"> </w:t>
      </w:r>
      <w:r>
        <w:rPr>
          <w:rFonts w:ascii="Arial" w:eastAsia="Arial" w:hAnsi="Arial" w:cs="Arial"/>
          <w:color w:val="00000A"/>
          <w:sz w:val="22"/>
          <w:szCs w:val="22"/>
        </w:rPr>
        <w:t>A utilização de uma dosagem de até 0,693 kg/ha de ingrediente ativo de glifosato</w:t>
      </w:r>
      <w:sdt>
        <w:sdtPr>
          <w:tag w:val="goog_rdk_19"/>
          <w:id w:val="239140746"/>
        </w:sdtPr>
        <w:sdtContent>
          <w:r>
            <w:rPr>
              <w:rFonts w:ascii="Arial" w:eastAsia="Arial" w:hAnsi="Arial" w:cs="Arial"/>
              <w:color w:val="00000A"/>
              <w:sz w:val="22"/>
              <w:szCs w:val="22"/>
            </w:rPr>
            <w:t xml:space="preserve"> </w:t>
          </w:r>
        </w:sdtContent>
      </w:sdt>
      <w:r>
        <w:rPr>
          <w:rFonts w:ascii="Arial" w:eastAsia="Arial" w:hAnsi="Arial" w:cs="Arial"/>
          <w:color w:val="00000A"/>
          <w:sz w:val="22"/>
          <w:szCs w:val="22"/>
        </w:rPr>
        <w:t xml:space="preserve">não compromete o retorno do Tifton 85 e não aumenta a incidência de plantas invasoras na área. Para uma recomendação de uso mais estudos são necessários como protocolos </w:t>
      </w:r>
      <w:r w:rsidR="00B75EE8">
        <w:rPr>
          <w:rFonts w:ascii="Arial" w:eastAsia="Arial" w:hAnsi="Arial" w:cs="Arial"/>
          <w:color w:val="00000A"/>
          <w:sz w:val="22"/>
          <w:szCs w:val="22"/>
        </w:rPr>
        <w:t xml:space="preserve">de </w:t>
      </w:r>
      <w:proofErr w:type="spellStart"/>
      <w:r>
        <w:rPr>
          <w:rFonts w:ascii="Arial" w:eastAsia="Arial" w:hAnsi="Arial" w:cs="Arial"/>
          <w:color w:val="00000A"/>
          <w:sz w:val="22"/>
          <w:szCs w:val="22"/>
        </w:rPr>
        <w:t>subdosagens</w:t>
      </w:r>
      <w:proofErr w:type="spellEnd"/>
      <w:r>
        <w:rPr>
          <w:rFonts w:ascii="Arial" w:eastAsia="Arial" w:hAnsi="Arial" w:cs="Arial"/>
          <w:color w:val="00000A"/>
          <w:sz w:val="22"/>
          <w:szCs w:val="22"/>
        </w:rPr>
        <w:t xml:space="preserve"> aliados a </w:t>
      </w:r>
      <w:proofErr w:type="spellStart"/>
      <w:r>
        <w:rPr>
          <w:rFonts w:ascii="Arial" w:eastAsia="Arial" w:hAnsi="Arial" w:cs="Arial"/>
          <w:color w:val="00000A"/>
          <w:sz w:val="22"/>
          <w:szCs w:val="22"/>
        </w:rPr>
        <w:t>sobressemeadura</w:t>
      </w:r>
      <w:proofErr w:type="spellEnd"/>
      <w:r>
        <w:rPr>
          <w:rFonts w:ascii="Arial" w:eastAsia="Arial" w:hAnsi="Arial" w:cs="Arial"/>
          <w:color w:val="00000A"/>
          <w:sz w:val="22"/>
          <w:szCs w:val="22"/>
        </w:rPr>
        <w:t xml:space="preserve"> de espécies hibernais.   </w:t>
      </w:r>
    </w:p>
    <w:p w14:paraId="0000002B" w14:textId="77777777" w:rsidR="00F54854" w:rsidRDefault="00F54854">
      <w:pPr>
        <w:pBdr>
          <w:top w:val="nil"/>
          <w:left w:val="nil"/>
          <w:bottom w:val="nil"/>
          <w:right w:val="nil"/>
          <w:between w:val="nil"/>
        </w:pBdr>
        <w:jc w:val="both"/>
        <w:rPr>
          <w:rFonts w:ascii="Arial" w:eastAsia="Arial" w:hAnsi="Arial" w:cs="Arial"/>
          <w:b/>
          <w:color w:val="000000"/>
          <w:sz w:val="22"/>
          <w:szCs w:val="22"/>
        </w:rPr>
      </w:pPr>
    </w:p>
    <w:p w14:paraId="0000002C" w14:textId="77777777" w:rsidR="00F54854" w:rsidRDefault="00000000">
      <w:pPr>
        <w:pBdr>
          <w:top w:val="nil"/>
          <w:left w:val="nil"/>
          <w:bottom w:val="nil"/>
          <w:right w:val="nil"/>
          <w:between w:val="nil"/>
        </w:pBdr>
        <w:jc w:val="both"/>
        <w:rPr>
          <w:rFonts w:ascii="Cambria" w:eastAsia="Cambria" w:hAnsi="Cambria" w:cs="Cambria"/>
          <w:color w:val="000000"/>
        </w:rPr>
      </w:pPr>
      <w:r>
        <w:rPr>
          <w:rFonts w:ascii="Arial" w:eastAsia="Arial" w:hAnsi="Arial" w:cs="Arial"/>
          <w:b/>
          <w:color w:val="000000"/>
          <w:sz w:val="22"/>
          <w:szCs w:val="22"/>
        </w:rPr>
        <w:t xml:space="preserve">Agradecimento: </w:t>
      </w:r>
      <w:r>
        <w:rPr>
          <w:rFonts w:ascii="Arial" w:eastAsia="Arial" w:hAnsi="Arial" w:cs="Arial"/>
          <w:color w:val="000000"/>
          <w:sz w:val="22"/>
          <w:szCs w:val="22"/>
        </w:rPr>
        <w:t>Ao Programa de Bolsas Universitárias do Estado de Santa Catarina (UNIEDU) pela concessão de bolsa de iniciação científica. Universidade do Oeste de Santa Catarina (UNOESC-Xanxerê) pela disponibilização de professores para orientação e a Escola Agrícola La Salle - Xanxerê/SC pela disposição do local para realização do experimento.</w:t>
      </w:r>
    </w:p>
    <w:p w14:paraId="0000002D" w14:textId="77777777" w:rsidR="00F54854" w:rsidRDefault="00F54854">
      <w:pPr>
        <w:pBdr>
          <w:top w:val="nil"/>
          <w:left w:val="nil"/>
          <w:bottom w:val="nil"/>
          <w:right w:val="nil"/>
          <w:between w:val="nil"/>
        </w:pBdr>
        <w:jc w:val="both"/>
        <w:rPr>
          <w:rFonts w:ascii="Arial" w:eastAsia="Arial" w:hAnsi="Arial" w:cs="Arial"/>
          <w:b/>
          <w:color w:val="000000"/>
          <w:sz w:val="22"/>
          <w:szCs w:val="22"/>
        </w:rPr>
      </w:pPr>
    </w:p>
    <w:p w14:paraId="0000002E" w14:textId="77777777" w:rsidR="00F54854" w:rsidRDefault="000000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Referências:</w:t>
      </w:r>
    </w:p>
    <w:p w14:paraId="0000002F" w14:textId="77777777" w:rsidR="00F54854" w:rsidRDefault="00F54854">
      <w:pPr>
        <w:pBdr>
          <w:top w:val="nil"/>
          <w:left w:val="nil"/>
          <w:bottom w:val="nil"/>
          <w:right w:val="nil"/>
          <w:between w:val="nil"/>
        </w:pBdr>
        <w:jc w:val="both"/>
        <w:rPr>
          <w:rFonts w:ascii="Arial" w:eastAsia="Arial" w:hAnsi="Arial" w:cs="Arial"/>
          <w:b/>
          <w:color w:val="000000"/>
          <w:sz w:val="22"/>
          <w:szCs w:val="22"/>
        </w:rPr>
      </w:pPr>
    </w:p>
    <w:p w14:paraId="00000030" w14:textId="77777777" w:rsidR="00F54854"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ARAUJO, C.E.S.; MASSIGNAM, Â.M.; BORGES, R.C. Previsão de geada em Santa Catarina. Revista Agropecuária Catarinense, v.25, n.1, p. 87–90, 2012.</w:t>
      </w:r>
    </w:p>
    <w:p w14:paraId="00000031" w14:textId="77777777" w:rsidR="00F54854" w:rsidRDefault="00F54854">
      <w:pPr>
        <w:pBdr>
          <w:top w:val="nil"/>
          <w:left w:val="nil"/>
          <w:bottom w:val="nil"/>
          <w:right w:val="nil"/>
          <w:between w:val="nil"/>
        </w:pBdr>
        <w:jc w:val="both"/>
        <w:rPr>
          <w:rFonts w:ascii="Arial" w:eastAsia="Arial" w:hAnsi="Arial" w:cs="Arial"/>
          <w:color w:val="000000"/>
          <w:sz w:val="22"/>
          <w:szCs w:val="22"/>
        </w:rPr>
      </w:pPr>
    </w:p>
    <w:p w14:paraId="00000032" w14:textId="77777777" w:rsidR="00F54854"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ARALDI, D. F. Avaliação de pastagem natural e pastagem </w:t>
      </w:r>
      <w:proofErr w:type="spellStart"/>
      <w:r>
        <w:rPr>
          <w:rFonts w:ascii="Arial" w:eastAsia="Arial" w:hAnsi="Arial" w:cs="Arial"/>
          <w:color w:val="000000"/>
          <w:sz w:val="22"/>
          <w:szCs w:val="22"/>
        </w:rPr>
        <w:t>sobre-semeada</w:t>
      </w:r>
      <w:proofErr w:type="spellEnd"/>
      <w:r>
        <w:rPr>
          <w:rFonts w:ascii="Arial" w:eastAsia="Arial" w:hAnsi="Arial" w:cs="Arial"/>
          <w:color w:val="000000"/>
          <w:sz w:val="22"/>
          <w:szCs w:val="22"/>
        </w:rPr>
        <w:t xml:space="preserve"> de segundo ano com espécies </w:t>
      </w:r>
      <w:proofErr w:type="spellStart"/>
      <w:r>
        <w:rPr>
          <w:rFonts w:ascii="Arial" w:eastAsia="Arial" w:hAnsi="Arial" w:cs="Arial"/>
          <w:color w:val="000000"/>
          <w:sz w:val="22"/>
          <w:szCs w:val="22"/>
        </w:rPr>
        <w:t>Inernais</w:t>
      </w:r>
      <w:proofErr w:type="spellEnd"/>
      <w:r>
        <w:rPr>
          <w:rFonts w:ascii="Arial" w:eastAsia="Arial" w:hAnsi="Arial" w:cs="Arial"/>
          <w:color w:val="000000"/>
          <w:sz w:val="22"/>
          <w:szCs w:val="22"/>
        </w:rPr>
        <w:t xml:space="preserve"> com e sem o uso de Glifosato. </w:t>
      </w:r>
      <w:r>
        <w:rPr>
          <w:rFonts w:ascii="Arial" w:eastAsia="Arial" w:hAnsi="Arial" w:cs="Arial"/>
          <w:b/>
          <w:color w:val="000000"/>
          <w:sz w:val="22"/>
          <w:szCs w:val="22"/>
        </w:rPr>
        <w:t>Dissertação de Mestrado</w:t>
      </w:r>
      <w:r>
        <w:rPr>
          <w:rFonts w:ascii="Arial" w:eastAsia="Arial" w:hAnsi="Arial" w:cs="Arial"/>
          <w:color w:val="000000"/>
          <w:sz w:val="22"/>
          <w:szCs w:val="22"/>
        </w:rPr>
        <w:t>. Universidade Federal de Santa Maria, RS–Brasil, 123p. 2003.</w:t>
      </w:r>
    </w:p>
    <w:p w14:paraId="00000033" w14:textId="77777777" w:rsidR="00F54854" w:rsidRDefault="00000000">
      <w:p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br/>
        <w:t xml:space="preserve">MARÇALLO, F.A.; PELISSARI, A.; MORAES, A. de. Aplicação de Glifosato em campo naturalizado de </w:t>
      </w:r>
      <w:proofErr w:type="spellStart"/>
      <w:r>
        <w:rPr>
          <w:rFonts w:ascii="Arial" w:eastAsia="Arial" w:hAnsi="Arial" w:cs="Arial"/>
          <w:color w:val="000000"/>
          <w:sz w:val="22"/>
          <w:szCs w:val="22"/>
        </w:rPr>
        <w:t>pensacola</w:t>
      </w:r>
      <w:proofErr w:type="spellEnd"/>
      <w:r>
        <w:rPr>
          <w:rFonts w:ascii="Arial" w:eastAsia="Arial" w:hAnsi="Arial" w:cs="Arial"/>
          <w:color w:val="000000"/>
          <w:sz w:val="22"/>
          <w:szCs w:val="22"/>
        </w:rPr>
        <w:t xml:space="preserve">, para estabelecimento de forrageiras hibernais em </w:t>
      </w:r>
      <w:proofErr w:type="spellStart"/>
      <w:r>
        <w:rPr>
          <w:rFonts w:ascii="Arial" w:eastAsia="Arial" w:hAnsi="Arial" w:cs="Arial"/>
          <w:color w:val="000000"/>
          <w:sz w:val="22"/>
          <w:szCs w:val="22"/>
        </w:rPr>
        <w:t>sobre-semeadura</w:t>
      </w:r>
      <w:proofErr w:type="spellEnd"/>
      <w:r>
        <w:rPr>
          <w:rFonts w:ascii="Arial" w:eastAsia="Arial" w:hAnsi="Arial" w:cs="Arial"/>
          <w:color w:val="000000"/>
          <w:sz w:val="22"/>
          <w:szCs w:val="22"/>
        </w:rPr>
        <w:t>. </w:t>
      </w:r>
      <w:proofErr w:type="spellStart"/>
      <w:r>
        <w:rPr>
          <w:rFonts w:ascii="Arial" w:eastAsia="Arial" w:hAnsi="Arial" w:cs="Arial"/>
          <w:b/>
          <w:color w:val="000000"/>
          <w:sz w:val="22"/>
          <w:szCs w:val="22"/>
        </w:rPr>
        <w:t>Scientia</w:t>
      </w:r>
      <w:proofErr w:type="spellEnd"/>
      <w:r>
        <w:rPr>
          <w:rFonts w:ascii="Arial" w:eastAsia="Arial" w:hAnsi="Arial" w:cs="Arial"/>
          <w:b/>
          <w:color w:val="000000"/>
          <w:sz w:val="22"/>
          <w:szCs w:val="22"/>
        </w:rPr>
        <w:t xml:space="preserve"> Agraria</w:t>
      </w:r>
      <w:r>
        <w:rPr>
          <w:rFonts w:ascii="Arial" w:eastAsia="Arial" w:hAnsi="Arial" w:cs="Arial"/>
          <w:color w:val="000000"/>
          <w:sz w:val="22"/>
          <w:szCs w:val="22"/>
        </w:rPr>
        <w:t xml:space="preserve">, v. 7, n. 1, p. 55-59, 2006. </w:t>
      </w:r>
    </w:p>
    <w:p w14:paraId="00000034" w14:textId="77777777" w:rsidR="00F54854" w:rsidRDefault="00000000">
      <w:p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 xml:space="preserve">OLIVEIRA, M.A.; PEREIRA, O.G.; MARTINEZ Y HUAMAN, C.A.; GARCIA, R.; GOMIDE, J.A.; CECON, P.R.; SILVEIRA, P. R de. Características Morfogênicas e Estruturais do Capim-Bermuda “Tifton 85” (Cynodon spp.) em Diferentes Idades de Rebrota. </w:t>
      </w:r>
      <w:r>
        <w:rPr>
          <w:rFonts w:ascii="Arial" w:eastAsia="Arial" w:hAnsi="Arial" w:cs="Arial"/>
          <w:b/>
          <w:color w:val="000000"/>
          <w:sz w:val="22"/>
          <w:szCs w:val="22"/>
        </w:rPr>
        <w:t>Revista Brasileira de Zootecnia</w:t>
      </w:r>
      <w:r>
        <w:rPr>
          <w:rFonts w:ascii="Arial" w:eastAsia="Arial" w:hAnsi="Arial" w:cs="Arial"/>
          <w:color w:val="000000"/>
          <w:sz w:val="22"/>
          <w:szCs w:val="22"/>
        </w:rPr>
        <w:t>, 29(6), 1939–1948, 2000.</w:t>
      </w:r>
    </w:p>
    <w:p w14:paraId="00000035" w14:textId="77777777" w:rsidR="00F54854" w:rsidRPr="00840E8F" w:rsidRDefault="00000000">
      <w:pPr>
        <w:pBdr>
          <w:top w:val="nil"/>
          <w:left w:val="nil"/>
          <w:bottom w:val="nil"/>
          <w:right w:val="nil"/>
          <w:between w:val="nil"/>
        </w:pBdr>
        <w:spacing w:after="240"/>
        <w:jc w:val="both"/>
        <w:rPr>
          <w:rFonts w:ascii="Arial" w:eastAsia="Arial" w:hAnsi="Arial" w:cs="Arial"/>
          <w:color w:val="000000"/>
          <w:sz w:val="22"/>
          <w:szCs w:val="22"/>
          <w:lang w:val="en-US"/>
        </w:rPr>
      </w:pPr>
      <w:r>
        <w:rPr>
          <w:rFonts w:ascii="Arial" w:eastAsia="Arial" w:hAnsi="Arial" w:cs="Arial"/>
          <w:color w:val="000000"/>
          <w:sz w:val="22"/>
          <w:szCs w:val="22"/>
        </w:rPr>
        <w:t xml:space="preserve">POSTIGLIONI, S. R. Comportamento da aveia, </w:t>
      </w:r>
      <w:proofErr w:type="spellStart"/>
      <w:r>
        <w:rPr>
          <w:rFonts w:ascii="Arial" w:eastAsia="Arial" w:hAnsi="Arial" w:cs="Arial"/>
          <w:color w:val="000000"/>
          <w:sz w:val="22"/>
          <w:szCs w:val="22"/>
        </w:rPr>
        <w:t>azevém</w:t>
      </w:r>
      <w:proofErr w:type="spellEnd"/>
      <w:r>
        <w:rPr>
          <w:rFonts w:ascii="Arial" w:eastAsia="Arial" w:hAnsi="Arial" w:cs="Arial"/>
          <w:color w:val="000000"/>
          <w:sz w:val="22"/>
          <w:szCs w:val="22"/>
        </w:rPr>
        <w:t xml:space="preserve"> e centeio na </w:t>
      </w:r>
      <w:proofErr w:type="spellStart"/>
      <w:r>
        <w:rPr>
          <w:rFonts w:ascii="Arial" w:eastAsia="Arial" w:hAnsi="Arial" w:cs="Arial"/>
          <w:color w:val="000000"/>
          <w:sz w:val="22"/>
          <w:szCs w:val="22"/>
        </w:rPr>
        <w:t>região</w:t>
      </w:r>
      <w:proofErr w:type="spellEnd"/>
      <w:r>
        <w:rPr>
          <w:rFonts w:ascii="Arial" w:eastAsia="Arial" w:hAnsi="Arial" w:cs="Arial"/>
          <w:color w:val="000000"/>
          <w:sz w:val="22"/>
          <w:szCs w:val="22"/>
        </w:rPr>
        <w:t xml:space="preserve"> dos Campos Gerais, PR. </w:t>
      </w:r>
      <w:r w:rsidRPr="00840E8F">
        <w:rPr>
          <w:rFonts w:ascii="Arial" w:eastAsia="Arial" w:hAnsi="Arial" w:cs="Arial"/>
          <w:color w:val="000000"/>
          <w:sz w:val="22"/>
          <w:szCs w:val="22"/>
          <w:lang w:val="en-US"/>
        </w:rPr>
        <w:t xml:space="preserve">Londrina: IAPAR, 1982. 18 p. (IAPAR, </w:t>
      </w:r>
      <w:proofErr w:type="spellStart"/>
      <w:r w:rsidRPr="00840E8F">
        <w:rPr>
          <w:rFonts w:ascii="Arial" w:eastAsia="Arial" w:hAnsi="Arial" w:cs="Arial"/>
          <w:b/>
          <w:color w:val="000000"/>
          <w:sz w:val="22"/>
          <w:szCs w:val="22"/>
          <w:lang w:val="en-US"/>
        </w:rPr>
        <w:t>Boletim</w:t>
      </w:r>
      <w:proofErr w:type="spellEnd"/>
      <w:r w:rsidRPr="00840E8F">
        <w:rPr>
          <w:rFonts w:ascii="Arial" w:eastAsia="Arial" w:hAnsi="Arial" w:cs="Arial"/>
          <w:b/>
          <w:color w:val="000000"/>
          <w:sz w:val="22"/>
          <w:szCs w:val="22"/>
          <w:lang w:val="en-US"/>
        </w:rPr>
        <w:t xml:space="preserve"> </w:t>
      </w:r>
      <w:proofErr w:type="spellStart"/>
      <w:r w:rsidRPr="00840E8F">
        <w:rPr>
          <w:rFonts w:ascii="Arial" w:eastAsia="Arial" w:hAnsi="Arial" w:cs="Arial"/>
          <w:b/>
          <w:color w:val="000000"/>
          <w:sz w:val="22"/>
          <w:szCs w:val="22"/>
          <w:lang w:val="en-US"/>
        </w:rPr>
        <w:t>técnico</w:t>
      </w:r>
      <w:proofErr w:type="spellEnd"/>
      <w:r w:rsidRPr="00840E8F">
        <w:rPr>
          <w:rFonts w:ascii="Arial" w:eastAsia="Arial" w:hAnsi="Arial" w:cs="Arial"/>
          <w:color w:val="000000"/>
          <w:sz w:val="22"/>
          <w:szCs w:val="22"/>
          <w:lang w:val="en-US"/>
        </w:rPr>
        <w:t>, 14).</w:t>
      </w:r>
    </w:p>
    <w:p w14:paraId="00000037" w14:textId="77777777" w:rsidR="00F54854" w:rsidRDefault="00000000">
      <w:pPr>
        <w:pBdr>
          <w:top w:val="nil"/>
          <w:left w:val="nil"/>
          <w:bottom w:val="nil"/>
          <w:right w:val="nil"/>
          <w:between w:val="nil"/>
        </w:pBdr>
        <w:spacing w:after="240"/>
        <w:jc w:val="both"/>
        <w:rPr>
          <w:rFonts w:ascii="Arial" w:eastAsia="Arial" w:hAnsi="Arial" w:cs="Arial"/>
          <w:color w:val="000000"/>
          <w:sz w:val="22"/>
          <w:szCs w:val="22"/>
        </w:rPr>
      </w:pPr>
      <w:r w:rsidRPr="00894DDC">
        <w:rPr>
          <w:rFonts w:ascii="Arial" w:eastAsia="Arial" w:hAnsi="Arial" w:cs="Arial"/>
          <w:color w:val="000000"/>
          <w:sz w:val="22"/>
          <w:szCs w:val="22"/>
          <w:lang w:val="en-US"/>
        </w:rPr>
        <w:t xml:space="preserve">SBRISSIA, A.F.; DUCHINI, P.G.; ECHEVERRIA, J. R.; MIQUELOTO, M.; BERNARDON, A.; FIDELIS, L.A. Animal production on cultivated pasturelands in temperate climate regions of Latin America. </w:t>
      </w:r>
      <w:proofErr w:type="spellStart"/>
      <w:r>
        <w:rPr>
          <w:rFonts w:ascii="Arial" w:eastAsia="Arial" w:hAnsi="Arial" w:cs="Arial"/>
          <w:b/>
          <w:color w:val="000000"/>
          <w:sz w:val="22"/>
          <w:szCs w:val="22"/>
        </w:rPr>
        <w:t>Archivos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Latinoamericanos</w:t>
      </w:r>
      <w:proofErr w:type="spellEnd"/>
      <w:r>
        <w:rPr>
          <w:rFonts w:ascii="Arial" w:eastAsia="Arial" w:hAnsi="Arial" w:cs="Arial"/>
          <w:b/>
          <w:color w:val="000000"/>
          <w:sz w:val="22"/>
          <w:szCs w:val="22"/>
        </w:rPr>
        <w:t xml:space="preserve"> de </w:t>
      </w:r>
      <w:proofErr w:type="spellStart"/>
      <w:r>
        <w:rPr>
          <w:rFonts w:ascii="Arial" w:eastAsia="Arial" w:hAnsi="Arial" w:cs="Arial"/>
          <w:b/>
          <w:color w:val="000000"/>
          <w:sz w:val="22"/>
          <w:szCs w:val="22"/>
        </w:rPr>
        <w:t>Producción</w:t>
      </w:r>
      <w:proofErr w:type="spellEnd"/>
      <w:r>
        <w:rPr>
          <w:rFonts w:ascii="Arial" w:eastAsia="Arial" w:hAnsi="Arial" w:cs="Arial"/>
          <w:b/>
          <w:color w:val="000000"/>
          <w:sz w:val="22"/>
          <w:szCs w:val="22"/>
        </w:rPr>
        <w:t xml:space="preserve"> Animal</w:t>
      </w:r>
      <w:r>
        <w:rPr>
          <w:rFonts w:ascii="Arial" w:eastAsia="Arial" w:hAnsi="Arial" w:cs="Arial"/>
          <w:color w:val="000000"/>
          <w:sz w:val="22"/>
          <w:szCs w:val="22"/>
        </w:rPr>
        <w:t>, 25, 45–58, 2017.</w:t>
      </w:r>
    </w:p>
    <w:p w14:paraId="00000038" w14:textId="77777777" w:rsidR="00F54854"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SCHMIDT, F. Produção de massa seca, composição botânica e valor nutritivo de forrageiras de inverno sobressemeadas em pasto de tifton 85 adubado com fertilizantes químicos e cama de aves. </w:t>
      </w:r>
      <w:r>
        <w:rPr>
          <w:rFonts w:ascii="Arial" w:eastAsia="Arial" w:hAnsi="Arial" w:cs="Arial"/>
          <w:b/>
          <w:color w:val="000000"/>
          <w:sz w:val="22"/>
          <w:szCs w:val="22"/>
        </w:rPr>
        <w:t>Revista Agraria Acadêmica</w:t>
      </w:r>
      <w:r>
        <w:rPr>
          <w:rFonts w:ascii="Arial" w:eastAsia="Arial" w:hAnsi="Arial" w:cs="Arial"/>
          <w:color w:val="000000"/>
          <w:sz w:val="22"/>
          <w:szCs w:val="22"/>
        </w:rPr>
        <w:t>, 5(2), 50–65, 2022.</w:t>
      </w:r>
    </w:p>
    <w:p w14:paraId="00000039" w14:textId="77777777" w:rsidR="00F54854" w:rsidRDefault="00F54854">
      <w:pPr>
        <w:pBdr>
          <w:top w:val="nil"/>
          <w:left w:val="nil"/>
          <w:bottom w:val="nil"/>
          <w:right w:val="nil"/>
          <w:between w:val="nil"/>
        </w:pBdr>
        <w:jc w:val="both"/>
        <w:rPr>
          <w:rFonts w:ascii="Arial" w:eastAsia="Arial" w:hAnsi="Arial" w:cs="Arial"/>
          <w:color w:val="000000"/>
          <w:sz w:val="22"/>
          <w:szCs w:val="22"/>
        </w:rPr>
      </w:pPr>
    </w:p>
    <w:sectPr w:rsidR="00F54854">
      <w:headerReference w:type="default" r:id="rId8"/>
      <w:pgSz w:w="11906" w:h="16838"/>
      <w:pgMar w:top="1418" w:right="1418" w:bottom="1418"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D817" w14:textId="77777777" w:rsidR="00EB47BC" w:rsidRDefault="00EB47BC">
      <w:r>
        <w:separator/>
      </w:r>
    </w:p>
  </w:endnote>
  <w:endnote w:type="continuationSeparator" w:id="0">
    <w:p w14:paraId="6C691B2B" w14:textId="77777777" w:rsidR="00EB47BC" w:rsidRDefault="00EB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7138" w14:textId="77777777" w:rsidR="00EB47BC" w:rsidRDefault="00EB47BC">
      <w:r>
        <w:separator/>
      </w:r>
    </w:p>
  </w:footnote>
  <w:footnote w:type="continuationSeparator" w:id="0">
    <w:p w14:paraId="6F15FC98" w14:textId="77777777" w:rsidR="00EB47BC" w:rsidRDefault="00EB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F54854" w:rsidRDefault="00000000">
    <w:pPr>
      <w:pBdr>
        <w:top w:val="nil"/>
        <w:left w:val="nil"/>
        <w:bottom w:val="nil"/>
        <w:right w:val="nil"/>
        <w:between w:val="nil"/>
      </w:pBdr>
      <w:ind w:left="-1418"/>
      <w:rPr>
        <w:rFonts w:ascii="Cambria" w:eastAsia="Cambria" w:hAnsi="Cambria" w:cs="Cambria"/>
        <w:color w:val="00000A"/>
      </w:rPr>
    </w:pPr>
    <w:r>
      <w:rPr>
        <w:rFonts w:ascii="Cambria" w:eastAsia="Cambria" w:hAnsi="Cambria" w:cs="Cambria"/>
        <w:noProof/>
        <w:color w:val="00000A"/>
      </w:rPr>
      <w:drawing>
        <wp:inline distT="0" distB="0" distL="0" distR="0" wp14:anchorId="515B5AAF" wp14:editId="38B2CBC8">
          <wp:extent cx="7559675" cy="11156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9675" cy="11156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54"/>
    <w:rsid w:val="003872AD"/>
    <w:rsid w:val="003C2050"/>
    <w:rsid w:val="00581614"/>
    <w:rsid w:val="00840E8F"/>
    <w:rsid w:val="00894DDC"/>
    <w:rsid w:val="00B75EE8"/>
    <w:rsid w:val="00BF13F0"/>
    <w:rsid w:val="00D50CDA"/>
    <w:rsid w:val="00EB47BC"/>
    <w:rsid w:val="00F54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58834A7"/>
  <w15:docId w15:val="{8395D285-8034-AF4B-BB8E-972E091B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894DDC"/>
  </w:style>
  <w:style w:type="character" w:styleId="Hyperlink">
    <w:name w:val="Hyperlink"/>
    <w:rsid w:val="00840E8F"/>
    <w:rPr>
      <w:u w:val="single"/>
    </w:rPr>
  </w:style>
  <w:style w:type="paragraph" w:customStyle="1" w:styleId="LO-normal">
    <w:name w:val="LO-normal"/>
    <w:rsid w:val="00840E8F"/>
    <w:pPr>
      <w:pBdr>
        <w:top w:val="nil"/>
        <w:left w:val="nil"/>
        <w:bottom w:val="nil"/>
        <w:right w:val="nil"/>
        <w:between w:val="nil"/>
        <w:bar w:val="nil"/>
      </w:pBdr>
      <w:suppressAutoHyphens/>
    </w:pPr>
    <w:rPr>
      <w:rFonts w:ascii="Cambria" w:eastAsia="Arial Unicode MS" w:hAnsi="Cambria" w:cs="Arial Unicode MS"/>
      <w:color w:val="00000A"/>
      <w:u w:color="00000A"/>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barreta@unoesc.edu.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8dSDfyQiFB5gApGhiy0d61m93w==">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1594</Words>
  <Characters>8609</Characters>
  <Application>Microsoft Office Word</Application>
  <DocSecurity>0</DocSecurity>
  <Lines>71</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Augusto Barreta</cp:lastModifiedBy>
  <cp:revision>8</cp:revision>
  <dcterms:created xsi:type="dcterms:W3CDTF">2023-10-16T21:01:00Z</dcterms:created>
  <dcterms:modified xsi:type="dcterms:W3CDTF">2023-10-17T20:52:00Z</dcterms:modified>
</cp:coreProperties>
</file>